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F104C" w14:textId="08301B15" w:rsidR="00F45B64" w:rsidRPr="00340CF3" w:rsidRDefault="00FD5B75" w:rsidP="00584A1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09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0CF3"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Додаток 4</w:t>
      </w:r>
    </w:p>
    <w:p w14:paraId="5310F911" w14:textId="77777777" w:rsidR="00F45B64" w:rsidRPr="00340CF3" w:rsidRDefault="00FD5B75" w:rsidP="00584A1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609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0CF3">
        <w:rPr>
          <w:rFonts w:ascii="Times New Roman" w:eastAsia="Times New Roman" w:hAnsi="Times New Roman" w:cs="Times New Roman"/>
          <w:color w:val="000000"/>
          <w:sz w:val="28"/>
          <w:szCs w:val="28"/>
        </w:rPr>
        <w:t>до Технічного регламенту</w:t>
      </w:r>
    </w:p>
    <w:p w14:paraId="4D2FE9A0" w14:textId="77777777" w:rsidR="00F45B64" w:rsidRDefault="00F45B64" w:rsidP="008E001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1EF7F3C" w14:textId="77777777" w:rsidR="00E53726" w:rsidRPr="008E001B" w:rsidRDefault="00E53726" w:rsidP="008E001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22280E8" w14:textId="77777777" w:rsidR="00DB1937" w:rsidRPr="008E001B" w:rsidRDefault="00FD5B75" w:rsidP="008E00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8E001B">
        <w:rPr>
          <w:rFonts w:ascii="Times New Roman" w:eastAsia="Times New Roman" w:hAnsi="Times New Roman" w:cs="Times New Roman"/>
          <w:b/>
          <w:sz w:val="28"/>
          <w:szCs w:val="28"/>
        </w:rPr>
        <w:t>Вимоги</w:t>
      </w:r>
    </w:p>
    <w:p w14:paraId="40B81FB2" w14:textId="77777777" w:rsidR="00F45B64" w:rsidRPr="00DD1D90" w:rsidRDefault="00FD5B75" w:rsidP="008E00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DD1D90">
        <w:rPr>
          <w:rFonts w:ascii="Times New Roman" w:eastAsia="Times New Roman" w:hAnsi="Times New Roman" w:cs="Times New Roman"/>
          <w:b/>
          <w:sz w:val="28"/>
          <w:szCs w:val="28"/>
        </w:rPr>
        <w:t>до перевірки під час здійснення державного ринкового нагляду</w:t>
      </w:r>
    </w:p>
    <w:p w14:paraId="72A4BA37" w14:textId="77777777" w:rsidR="001817E2" w:rsidRPr="00DD1D90" w:rsidRDefault="001817E2" w:rsidP="008E00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3488C5EB" w14:textId="1B2F63BF" w:rsidR="00F45B64" w:rsidRPr="00DD1D90" w:rsidRDefault="00FD5B75" w:rsidP="007A54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 Допустимі похибки, зазначені в цьому додатку, стосуються лише перевірки вимірюваних параметрів органами державного ринкового нагляду </w:t>
      </w:r>
      <w:r w:rsidR="00B56947"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повинні використовуватися</w:t>
      </w:r>
      <w:r w:rsidR="002E6A1E"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виробником, імпортером або уповноваженим представником </w:t>
      </w:r>
      <w:r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як допустимі похибки для встановлення значень </w:t>
      </w:r>
      <w:r w:rsidR="00B56947"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технічній документації або при інтерпретації цих значень для досягнення відповідності або </w:t>
      </w:r>
      <w:r w:rsidR="00B56947"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>інформування про кращі експлуатаційні характеристики</w:t>
      </w:r>
      <w:r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будь-який спосіб.</w:t>
      </w:r>
    </w:p>
    <w:p w14:paraId="57779C91" w14:textId="2206B1C5" w:rsidR="009C1C66" w:rsidRPr="00DD1D90" w:rsidRDefault="00FD5B75" w:rsidP="00D462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Якщо модель </w:t>
      </w:r>
      <w:r w:rsidR="00B56947"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була </w:t>
      </w:r>
      <w:r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розроблена таким чином, </w:t>
      </w:r>
      <w:r w:rsidR="00A800B8"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щоб мати змогу виявити, що вона випробовується </w:t>
      </w:r>
      <w:r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(наприклад, шляхом розпізнавання умов </w:t>
      </w:r>
      <w:r w:rsidR="00867C6B"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>випробуванн</w:t>
      </w:r>
      <w:r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або </w:t>
      </w:r>
      <w:r w:rsidR="00867C6B"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випробувального </w:t>
      </w:r>
      <w:r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>цикл</w:t>
      </w:r>
      <w:r w:rsidR="00867C6B"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A800B8"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C1C66"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>і реагувати на це шляхом автоматичної зміни її характеристик</w:t>
      </w:r>
      <w:r w:rsidR="003E71C6"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C1C66"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під час випробовування з метою досягнення більш сприятливого рівня для будь-якого з параметрів, зазначених у </w:t>
      </w:r>
      <w:r w:rsidR="003E71C6"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цьому </w:t>
      </w:r>
      <w:r w:rsidR="009C1C66"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>Технічному регламенті</w:t>
      </w:r>
      <w:r w:rsidR="00E53726"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C1C66"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>або включених до технічної документації, або включених до будь-якої наданої документації, така модель і всі еквівалентні моделі вважаються такими, що не відповідають вимогам</w:t>
      </w:r>
      <w:r w:rsidR="003E71C6" w:rsidRPr="00DD1D90">
        <w:t>.</w:t>
      </w:r>
    </w:p>
    <w:p w14:paraId="51980BA8" w14:textId="77777777" w:rsidR="00D462D8" w:rsidRPr="00DD1D90" w:rsidRDefault="00D462D8" w:rsidP="00D462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53B6AB9" w14:textId="74E024A1" w:rsidR="009C1C66" w:rsidRPr="00DD1D90" w:rsidRDefault="009C1C66" w:rsidP="00D462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>2. Під час проведення перевірки відповідності зварювального обладнання вимогам</w:t>
      </w:r>
      <w:r w:rsidR="003E71C6"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цього </w:t>
      </w:r>
      <w:r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Технічного регламенту, органи державного ринкового нагляду застосовують </w:t>
      </w:r>
      <w:r w:rsidR="00E53726"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>таку</w:t>
      </w:r>
      <w:r w:rsidRPr="00DD1D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процедуру:</w:t>
      </w:r>
    </w:p>
    <w:p w14:paraId="22F0ECAC" w14:textId="14BE2E73" w:rsidR="00F45B64" w:rsidRPr="00DD1D90" w:rsidRDefault="0064529E" w:rsidP="0064529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n192"/>
      <w:bookmarkEnd w:id="0"/>
      <w:r w:rsidRPr="00DD1D90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DD1D90">
        <w:rPr>
          <w:rFonts w:ascii="Times New Roman" w:eastAsia="Times New Roman" w:hAnsi="Times New Roman" w:cs="Times New Roman"/>
          <w:sz w:val="28"/>
          <w:szCs w:val="28"/>
        </w:rPr>
        <w:tab/>
      </w:r>
      <w:r w:rsidR="00FD5B75" w:rsidRPr="00DD1D90">
        <w:rPr>
          <w:rFonts w:ascii="Times New Roman" w:eastAsia="Times New Roman" w:hAnsi="Times New Roman" w:cs="Times New Roman"/>
          <w:sz w:val="28"/>
          <w:szCs w:val="28"/>
        </w:rPr>
        <w:t xml:space="preserve">перевірці підлягає одна </w:t>
      </w:r>
      <w:r w:rsidR="009C1C66" w:rsidRPr="00DD1D90">
        <w:rPr>
          <w:rFonts w:ascii="Times New Roman" w:eastAsia="Times New Roman" w:hAnsi="Times New Roman" w:cs="Times New Roman"/>
          <w:sz w:val="28"/>
          <w:szCs w:val="28"/>
        </w:rPr>
        <w:t>одиниця моделі</w:t>
      </w:r>
      <w:r w:rsidR="00FD5B75" w:rsidRPr="00DD1D90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14:paraId="412F1BD6" w14:textId="55EA39C9" w:rsidR="009C1C66" w:rsidRPr="00DD1D90" w:rsidRDefault="00FD5B75" w:rsidP="0064529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1D90">
        <w:rPr>
          <w:rFonts w:ascii="Times New Roman" w:eastAsia="Times New Roman" w:hAnsi="Times New Roman" w:cs="Times New Roman"/>
          <w:sz w:val="28"/>
          <w:szCs w:val="28"/>
        </w:rPr>
        <w:t>2)</w:t>
      </w:r>
      <w:r w:rsidR="0064529E" w:rsidRPr="00DD1D90">
        <w:rPr>
          <w:rFonts w:ascii="Times New Roman" w:eastAsia="Times New Roman" w:hAnsi="Times New Roman" w:cs="Times New Roman"/>
          <w:sz w:val="28"/>
          <w:szCs w:val="28"/>
        </w:rPr>
        <w:tab/>
      </w:r>
      <w:r w:rsidRPr="00DD1D90">
        <w:rPr>
          <w:rFonts w:ascii="Times New Roman" w:eastAsia="Times New Roman" w:hAnsi="Times New Roman" w:cs="Times New Roman"/>
          <w:sz w:val="28"/>
          <w:szCs w:val="28"/>
        </w:rPr>
        <w:t>модель вважається такою, що відповідає вимогам</w:t>
      </w:r>
      <w:r w:rsidR="003E71C6" w:rsidRPr="00DD1D90">
        <w:rPr>
          <w:rFonts w:ascii="Times New Roman" w:eastAsia="Times New Roman" w:hAnsi="Times New Roman" w:cs="Times New Roman"/>
          <w:sz w:val="28"/>
          <w:szCs w:val="28"/>
        </w:rPr>
        <w:t xml:space="preserve"> цього</w:t>
      </w:r>
      <w:r w:rsidRPr="00DD1D90">
        <w:rPr>
          <w:rFonts w:ascii="Times New Roman" w:eastAsia="Times New Roman" w:hAnsi="Times New Roman" w:cs="Times New Roman"/>
          <w:sz w:val="28"/>
          <w:szCs w:val="28"/>
        </w:rPr>
        <w:t xml:space="preserve"> Технічного регламенту, якщо</w:t>
      </w:r>
      <w:r w:rsidR="009C1C66" w:rsidRPr="00DD1D90">
        <w:rPr>
          <w:rFonts w:ascii="Times New Roman" w:eastAsia="Times New Roman" w:hAnsi="Times New Roman" w:cs="Times New Roman"/>
          <w:sz w:val="28"/>
          <w:szCs w:val="28"/>
        </w:rPr>
        <w:t xml:space="preserve"> виконано такі умови</w:t>
      </w:r>
      <w:r w:rsidRPr="00DD1D90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6788D72" w14:textId="69B84C17" w:rsidR="007E2C94" w:rsidRPr="00DD1D90" w:rsidRDefault="00E535D9" w:rsidP="00843276">
      <w:pPr>
        <w:pStyle w:val="rvps2"/>
        <w:shd w:val="clear" w:color="auto" w:fill="FFFFFF"/>
        <w:spacing w:before="12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" w:name="n195"/>
      <w:bookmarkStart w:id="2" w:name="n196"/>
      <w:bookmarkStart w:id="3" w:name="n197"/>
      <w:bookmarkStart w:id="4" w:name="n198"/>
      <w:bookmarkEnd w:id="1"/>
      <w:bookmarkEnd w:id="2"/>
      <w:bookmarkEnd w:id="3"/>
      <w:bookmarkEnd w:id="4"/>
      <w:r w:rsidRPr="00DD1D90">
        <w:rPr>
          <w:sz w:val="28"/>
          <w:szCs w:val="28"/>
          <w:lang w:val="uk-UA"/>
        </w:rPr>
        <w:t xml:space="preserve">значення, наведені в технічній документації згідно з пунктами 2 та 3 додатка 3 до Технічного регламенту щодо встановлення системи для визначення вимог з </w:t>
      </w:r>
      <w:proofErr w:type="spellStart"/>
      <w:r w:rsidRPr="00DD1D90">
        <w:rPr>
          <w:sz w:val="28"/>
          <w:szCs w:val="28"/>
          <w:lang w:val="uk-UA"/>
        </w:rPr>
        <w:t>екодизайну</w:t>
      </w:r>
      <w:proofErr w:type="spellEnd"/>
      <w:r w:rsidRPr="00DD1D90">
        <w:rPr>
          <w:sz w:val="28"/>
          <w:szCs w:val="28"/>
          <w:lang w:val="uk-UA"/>
        </w:rPr>
        <w:t xml:space="preserve"> </w:t>
      </w:r>
      <w:proofErr w:type="spellStart"/>
      <w:r w:rsidRPr="00DD1D90">
        <w:rPr>
          <w:sz w:val="28"/>
          <w:szCs w:val="28"/>
          <w:lang w:val="uk-UA"/>
        </w:rPr>
        <w:t>енергоспоживчих</w:t>
      </w:r>
      <w:proofErr w:type="spellEnd"/>
      <w:r w:rsidRPr="00DD1D90">
        <w:rPr>
          <w:sz w:val="28"/>
          <w:szCs w:val="28"/>
          <w:lang w:val="uk-UA"/>
        </w:rPr>
        <w:t xml:space="preserve"> продуктів, затвердженого постановою Кабінету Міністрів України від 3 жовтня 2018 р. № 804 (Офіційний вісник України, 2018 р., № 80, ст. 2678) і, </w:t>
      </w:r>
      <w:r w:rsidR="00603313" w:rsidRPr="00DD1D90">
        <w:rPr>
          <w:sz w:val="28"/>
          <w:szCs w:val="28"/>
          <w:lang w:val="uk-UA"/>
        </w:rPr>
        <w:t>у відповідних випадках</w:t>
      </w:r>
      <w:r w:rsidRPr="00DD1D90">
        <w:rPr>
          <w:sz w:val="28"/>
          <w:szCs w:val="28"/>
          <w:lang w:val="uk-UA"/>
        </w:rPr>
        <w:t>, значення,</w:t>
      </w:r>
      <w:r w:rsidR="00603313" w:rsidRPr="00DD1D90">
        <w:rPr>
          <w:sz w:val="28"/>
          <w:szCs w:val="28"/>
          <w:lang w:val="uk-UA"/>
        </w:rPr>
        <w:t xml:space="preserve"> які </w:t>
      </w:r>
      <w:r w:rsidRPr="00DD1D90">
        <w:rPr>
          <w:sz w:val="28"/>
          <w:szCs w:val="28"/>
          <w:lang w:val="uk-UA"/>
        </w:rPr>
        <w:t xml:space="preserve">використовують для </w:t>
      </w:r>
      <w:r w:rsidR="00603313" w:rsidRPr="00DD1D90">
        <w:rPr>
          <w:sz w:val="28"/>
          <w:szCs w:val="28"/>
          <w:lang w:val="uk-UA"/>
        </w:rPr>
        <w:t xml:space="preserve">розрахунку таких </w:t>
      </w:r>
      <w:r w:rsidRPr="00DD1D90">
        <w:rPr>
          <w:sz w:val="28"/>
          <w:szCs w:val="28"/>
          <w:lang w:val="uk-UA"/>
        </w:rPr>
        <w:t xml:space="preserve">значень, не є вигіднішими для виробника, імпортера або уповноваженого представника, ніж результати відповідних вимірювань, проведених згідно з підпунктом 7 пункту 3 додатка 3 до </w:t>
      </w:r>
      <w:r w:rsidR="00AA1013" w:rsidRPr="00DD1D90">
        <w:rPr>
          <w:sz w:val="28"/>
          <w:szCs w:val="28"/>
          <w:lang w:val="uk-UA"/>
        </w:rPr>
        <w:t xml:space="preserve">цього </w:t>
      </w:r>
      <w:r w:rsidRPr="00DD1D90">
        <w:rPr>
          <w:sz w:val="28"/>
          <w:szCs w:val="28"/>
          <w:lang w:val="uk-UA"/>
        </w:rPr>
        <w:t>Технічного регламенту, зазначеного в цьому абзаці;</w:t>
      </w:r>
    </w:p>
    <w:p w14:paraId="4C0ADDE5" w14:textId="5E4C0D5B" w:rsidR="00F45B64" w:rsidRPr="00DD1D90" w:rsidRDefault="00F55B8E" w:rsidP="008432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1D90">
        <w:rPr>
          <w:rFonts w:ascii="Times New Roman" w:eastAsia="Times New Roman" w:hAnsi="Times New Roman" w:cs="Times New Roman"/>
          <w:sz w:val="28"/>
          <w:szCs w:val="28"/>
        </w:rPr>
        <w:t>задекларовані</w:t>
      </w:r>
      <w:r w:rsidR="00FD5B75" w:rsidRPr="00DD1D90">
        <w:rPr>
          <w:rFonts w:ascii="Times New Roman" w:eastAsia="Times New Roman" w:hAnsi="Times New Roman" w:cs="Times New Roman"/>
          <w:sz w:val="28"/>
          <w:szCs w:val="28"/>
        </w:rPr>
        <w:t xml:space="preserve"> значення відповідають </w:t>
      </w:r>
      <w:r w:rsidR="00DD586F" w:rsidRPr="00DD1D90">
        <w:rPr>
          <w:rFonts w:ascii="Times New Roman" w:eastAsia="Times New Roman" w:hAnsi="Times New Roman" w:cs="Times New Roman"/>
          <w:sz w:val="28"/>
          <w:szCs w:val="28"/>
        </w:rPr>
        <w:t xml:space="preserve">будь-яким </w:t>
      </w:r>
      <w:r w:rsidR="00FD5B75" w:rsidRPr="00DD1D90">
        <w:rPr>
          <w:rFonts w:ascii="Times New Roman" w:eastAsia="Times New Roman" w:hAnsi="Times New Roman" w:cs="Times New Roman"/>
          <w:sz w:val="28"/>
          <w:szCs w:val="28"/>
        </w:rPr>
        <w:t>вимогам, наведеним у</w:t>
      </w:r>
      <w:r w:rsidR="00AA1013" w:rsidRPr="00DD1D90">
        <w:rPr>
          <w:rFonts w:ascii="Times New Roman" w:eastAsia="Times New Roman" w:hAnsi="Times New Roman" w:cs="Times New Roman"/>
          <w:sz w:val="28"/>
          <w:szCs w:val="28"/>
        </w:rPr>
        <w:t xml:space="preserve"> цьому</w:t>
      </w:r>
      <w:r w:rsidR="00FD5B75" w:rsidRPr="00DD1D90">
        <w:rPr>
          <w:rFonts w:ascii="Times New Roman" w:eastAsia="Times New Roman" w:hAnsi="Times New Roman" w:cs="Times New Roman"/>
          <w:sz w:val="28"/>
          <w:szCs w:val="28"/>
        </w:rPr>
        <w:t xml:space="preserve"> Технічному регламенті, а</w:t>
      </w:r>
      <w:r w:rsidR="00DD586F" w:rsidRPr="00DD1D90">
        <w:rPr>
          <w:rFonts w:ascii="Times New Roman" w:eastAsia="Times New Roman" w:hAnsi="Times New Roman" w:cs="Times New Roman"/>
          <w:sz w:val="28"/>
          <w:szCs w:val="28"/>
        </w:rPr>
        <w:t xml:space="preserve"> також будь-яка</w:t>
      </w:r>
      <w:r w:rsidR="00FD5B75" w:rsidRPr="00DD1D90">
        <w:rPr>
          <w:rFonts w:ascii="Times New Roman" w:eastAsia="Times New Roman" w:hAnsi="Times New Roman" w:cs="Times New Roman"/>
          <w:sz w:val="28"/>
          <w:szCs w:val="28"/>
        </w:rPr>
        <w:t xml:space="preserve"> необхідна інформація про продук</w:t>
      </w:r>
      <w:r w:rsidR="00DD586F" w:rsidRPr="00DD1D90">
        <w:rPr>
          <w:rFonts w:ascii="Times New Roman" w:eastAsia="Times New Roman" w:hAnsi="Times New Roman" w:cs="Times New Roman"/>
          <w:sz w:val="28"/>
          <w:szCs w:val="28"/>
        </w:rPr>
        <w:t>цію</w:t>
      </w:r>
      <w:r w:rsidR="00FD5B75" w:rsidRPr="00DD1D9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D586F" w:rsidRPr="00DD1D90">
        <w:rPr>
          <w:rFonts w:ascii="Times New Roman" w:eastAsia="Times New Roman" w:hAnsi="Times New Roman" w:cs="Times New Roman"/>
          <w:sz w:val="28"/>
          <w:szCs w:val="28"/>
        </w:rPr>
        <w:t xml:space="preserve">опублікована </w:t>
      </w:r>
      <w:r w:rsidR="00FD5B75" w:rsidRPr="00DD1D90">
        <w:rPr>
          <w:rFonts w:ascii="Times New Roman" w:eastAsia="Times New Roman" w:hAnsi="Times New Roman" w:cs="Times New Roman"/>
          <w:sz w:val="28"/>
          <w:szCs w:val="28"/>
        </w:rPr>
        <w:t>виробником,  імпортером або уповноваженим представником, не містить значень, які є більш сприятливими для виробника, імпортера або уповноваженого представника, ніж задекларовані значення;</w:t>
      </w:r>
    </w:p>
    <w:p w14:paraId="57EF66D8" w14:textId="43113798" w:rsidR="00F45B64" w:rsidRPr="00DD1D90" w:rsidRDefault="00FD5B75" w:rsidP="008432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1D9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під час проведення органами державного ринкового нагляду </w:t>
      </w:r>
      <w:r w:rsidR="00BC3864" w:rsidRPr="00DD1D90">
        <w:rPr>
          <w:rFonts w:ascii="Times New Roman" w:eastAsia="Times New Roman" w:hAnsi="Times New Roman" w:cs="Times New Roman"/>
          <w:sz w:val="28"/>
          <w:szCs w:val="28"/>
        </w:rPr>
        <w:t>перевірки одиниці моделі</w:t>
      </w:r>
      <w:r w:rsidR="001718B9" w:rsidRPr="00DD1D90">
        <w:rPr>
          <w:rFonts w:ascii="Times New Roman" w:eastAsia="Times New Roman" w:hAnsi="Times New Roman" w:cs="Times New Roman"/>
          <w:sz w:val="28"/>
          <w:szCs w:val="28"/>
        </w:rPr>
        <w:t>,</w:t>
      </w:r>
      <w:r w:rsidR="00BC3864" w:rsidRPr="00DD1D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1D90">
        <w:rPr>
          <w:rFonts w:ascii="Times New Roman" w:eastAsia="Times New Roman" w:hAnsi="Times New Roman" w:cs="Times New Roman"/>
          <w:sz w:val="28"/>
          <w:szCs w:val="28"/>
        </w:rPr>
        <w:t xml:space="preserve">виявлено, що виробник, імпортер або уповноважений представник встановив систему, що відповідає вимогам </w:t>
      </w:r>
      <w:r w:rsidR="009C3AB4" w:rsidRPr="00DD1D90">
        <w:rPr>
          <w:rFonts w:ascii="Times New Roman" w:eastAsia="Times New Roman" w:hAnsi="Times New Roman" w:cs="Times New Roman"/>
          <w:sz w:val="28"/>
          <w:szCs w:val="28"/>
        </w:rPr>
        <w:t xml:space="preserve">абзацу </w:t>
      </w:r>
      <w:r w:rsidRPr="00DD1D90">
        <w:rPr>
          <w:rFonts w:ascii="Times New Roman" w:eastAsia="Times New Roman" w:hAnsi="Times New Roman" w:cs="Times New Roman"/>
          <w:sz w:val="28"/>
          <w:szCs w:val="28"/>
        </w:rPr>
        <w:t xml:space="preserve">другого </w:t>
      </w:r>
      <w:r w:rsidR="00DC7F83" w:rsidRPr="00DD1D90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DD1D90">
        <w:rPr>
          <w:rFonts w:ascii="Times New Roman" w:eastAsia="Times New Roman" w:hAnsi="Times New Roman" w:cs="Times New Roman"/>
          <w:sz w:val="28"/>
          <w:szCs w:val="28"/>
        </w:rPr>
        <w:t xml:space="preserve">пункту </w:t>
      </w:r>
      <w:r w:rsidR="00BC3864" w:rsidRPr="00DD1D90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DD1D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1013" w:rsidRPr="00DD1D90">
        <w:rPr>
          <w:rFonts w:ascii="Times New Roman" w:eastAsia="Times New Roman" w:hAnsi="Times New Roman" w:cs="Times New Roman"/>
          <w:sz w:val="28"/>
          <w:szCs w:val="28"/>
        </w:rPr>
        <w:t xml:space="preserve">цього </w:t>
      </w:r>
      <w:r w:rsidRPr="00DD1D90">
        <w:rPr>
          <w:rFonts w:ascii="Times New Roman" w:eastAsia="Times New Roman" w:hAnsi="Times New Roman" w:cs="Times New Roman"/>
          <w:sz w:val="28"/>
          <w:szCs w:val="28"/>
        </w:rPr>
        <w:t>Технічного регламенту;</w:t>
      </w:r>
    </w:p>
    <w:p w14:paraId="3A4B7B88" w14:textId="51D9B08C" w:rsidR="001718B9" w:rsidRPr="00DD1D90" w:rsidRDefault="00BC3864" w:rsidP="008432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eading=h.gjdgxs" w:colFirst="0" w:colLast="0"/>
      <w:bookmarkEnd w:id="5"/>
      <w:r w:rsidRPr="00DD1D90">
        <w:rPr>
          <w:rFonts w:ascii="Times New Roman" w:eastAsia="Times New Roman" w:hAnsi="Times New Roman" w:cs="Times New Roman"/>
          <w:sz w:val="28"/>
          <w:szCs w:val="28"/>
        </w:rPr>
        <w:t xml:space="preserve">під час проведення органами державного ринкового нагляду перевірки одиниці моделі, </w:t>
      </w:r>
      <w:r w:rsidR="00FD5B75" w:rsidRPr="00DD1D90">
        <w:rPr>
          <w:rFonts w:ascii="Times New Roman" w:eastAsia="Times New Roman" w:hAnsi="Times New Roman" w:cs="Times New Roman"/>
          <w:sz w:val="28"/>
          <w:szCs w:val="28"/>
        </w:rPr>
        <w:t xml:space="preserve">виявлено, що вона відповідає вимогам </w:t>
      </w:r>
      <w:r w:rsidR="009C3AB4" w:rsidRPr="00DD1D90">
        <w:rPr>
          <w:rFonts w:ascii="Times New Roman" w:eastAsia="Times New Roman" w:hAnsi="Times New Roman" w:cs="Times New Roman"/>
          <w:sz w:val="28"/>
          <w:szCs w:val="28"/>
        </w:rPr>
        <w:t xml:space="preserve">абзацу </w:t>
      </w:r>
      <w:r w:rsidR="00FD5B75" w:rsidRPr="00DD1D90">
        <w:rPr>
          <w:rFonts w:ascii="Times New Roman" w:eastAsia="Times New Roman" w:hAnsi="Times New Roman" w:cs="Times New Roman"/>
          <w:sz w:val="28"/>
          <w:szCs w:val="28"/>
        </w:rPr>
        <w:t xml:space="preserve">третього </w:t>
      </w:r>
      <w:r w:rsidR="001718B9" w:rsidRPr="00DD1D90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FD5B75" w:rsidRPr="00DD1D90">
        <w:rPr>
          <w:rFonts w:ascii="Times New Roman" w:eastAsia="Times New Roman" w:hAnsi="Times New Roman" w:cs="Times New Roman"/>
          <w:sz w:val="28"/>
          <w:szCs w:val="28"/>
        </w:rPr>
        <w:t xml:space="preserve">пункту </w:t>
      </w:r>
      <w:r w:rsidR="001718B9" w:rsidRPr="00DD1D90">
        <w:rPr>
          <w:rFonts w:ascii="Times New Roman" w:eastAsia="Times New Roman" w:hAnsi="Times New Roman" w:cs="Times New Roman"/>
          <w:sz w:val="28"/>
          <w:szCs w:val="28"/>
        </w:rPr>
        <w:t xml:space="preserve">8 </w:t>
      </w:r>
      <w:r w:rsidR="00AA1013" w:rsidRPr="00DD1D90">
        <w:rPr>
          <w:rFonts w:ascii="Times New Roman" w:eastAsia="Times New Roman" w:hAnsi="Times New Roman" w:cs="Times New Roman"/>
          <w:sz w:val="28"/>
          <w:szCs w:val="28"/>
        </w:rPr>
        <w:t xml:space="preserve">цього </w:t>
      </w:r>
      <w:r w:rsidR="001718B9" w:rsidRPr="00DD1D90">
        <w:rPr>
          <w:rFonts w:ascii="Times New Roman" w:eastAsia="Times New Roman" w:hAnsi="Times New Roman" w:cs="Times New Roman"/>
          <w:sz w:val="28"/>
          <w:szCs w:val="28"/>
        </w:rPr>
        <w:t>Технічного регламенту</w:t>
      </w:r>
      <w:r w:rsidR="00FD5B75" w:rsidRPr="00DD1D90">
        <w:rPr>
          <w:rFonts w:ascii="Times New Roman" w:eastAsia="Times New Roman" w:hAnsi="Times New Roman" w:cs="Times New Roman"/>
          <w:sz w:val="28"/>
          <w:szCs w:val="28"/>
        </w:rPr>
        <w:t xml:space="preserve">, вимогам </w:t>
      </w:r>
      <w:r w:rsidR="001718B9" w:rsidRPr="00DD1D90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proofErr w:type="spellStart"/>
      <w:r w:rsidR="001718B9" w:rsidRPr="00DD1D90">
        <w:rPr>
          <w:rFonts w:ascii="Times New Roman" w:eastAsia="Times New Roman" w:hAnsi="Times New Roman" w:cs="Times New Roman"/>
          <w:sz w:val="28"/>
          <w:szCs w:val="28"/>
        </w:rPr>
        <w:t>ресурсоефективності</w:t>
      </w:r>
      <w:proofErr w:type="spellEnd"/>
      <w:r w:rsidR="001718B9" w:rsidRPr="00DD1D90">
        <w:rPr>
          <w:rFonts w:ascii="Times New Roman" w:eastAsia="Times New Roman" w:hAnsi="Times New Roman" w:cs="Times New Roman"/>
          <w:sz w:val="28"/>
          <w:szCs w:val="28"/>
        </w:rPr>
        <w:t xml:space="preserve"> та вимогам до інформації, наведеним у пунктах 2 та 3 додатка 2</w:t>
      </w:r>
      <w:r w:rsidR="001718B9" w:rsidRPr="00DD1D90">
        <w:rPr>
          <w:rFonts w:ascii="Times New Roman" w:hAnsi="Times New Roman" w:cs="Times New Roman"/>
          <w:sz w:val="28"/>
          <w:szCs w:val="28"/>
        </w:rPr>
        <w:t xml:space="preserve"> до </w:t>
      </w:r>
      <w:r w:rsidR="001718B9" w:rsidRPr="00DD1D90">
        <w:rPr>
          <w:rFonts w:ascii="Times New Roman" w:eastAsia="Times New Roman" w:hAnsi="Times New Roman" w:cs="Times New Roman"/>
          <w:sz w:val="28"/>
          <w:szCs w:val="28"/>
        </w:rPr>
        <w:t>Технічного регламенту;</w:t>
      </w:r>
    </w:p>
    <w:p w14:paraId="66608AEE" w14:textId="1AFFE71C" w:rsidR="001718B9" w:rsidRPr="00DD1D90" w:rsidRDefault="001718B9" w:rsidP="00843276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1D90">
        <w:rPr>
          <w:rFonts w:ascii="Times New Roman" w:eastAsia="Times New Roman" w:hAnsi="Times New Roman" w:cs="Times New Roman"/>
          <w:sz w:val="28"/>
          <w:szCs w:val="28"/>
        </w:rPr>
        <w:t>під час проведення органами державного ринкового нагляду перевірки одиниці моделі</w:t>
      </w:r>
      <w:r w:rsidR="00D90D63" w:rsidRPr="00DD1D9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D1D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0D63" w:rsidRPr="00DD1D90">
        <w:rPr>
          <w:rFonts w:ascii="Times New Roman" w:eastAsia="Times New Roman" w:hAnsi="Times New Roman" w:cs="Times New Roman"/>
          <w:sz w:val="28"/>
          <w:szCs w:val="28"/>
        </w:rPr>
        <w:t>визначені значення (значення відповідних параметрів, вимірян</w:t>
      </w:r>
      <w:r w:rsidR="00DC7F83" w:rsidRPr="00DD1D90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D90D63" w:rsidRPr="00DD1D90">
        <w:rPr>
          <w:rFonts w:ascii="Times New Roman" w:eastAsia="Times New Roman" w:hAnsi="Times New Roman" w:cs="Times New Roman"/>
          <w:sz w:val="28"/>
          <w:szCs w:val="28"/>
        </w:rPr>
        <w:t xml:space="preserve"> під час випробування, та значення, розраховані на основі цих вимірювань) відповідають відповідним допустимим похибкам, наведеним у таблиці 2 цього додатка.</w:t>
      </w:r>
    </w:p>
    <w:p w14:paraId="3AB24070" w14:textId="77777777" w:rsidR="00D462D8" w:rsidRPr="00DD1D90" w:rsidRDefault="00D462D8" w:rsidP="00C97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9CEA51" w14:textId="2756D02A" w:rsidR="00D90D63" w:rsidRPr="00DD1D90" w:rsidRDefault="00D90D63" w:rsidP="00C97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1D90">
        <w:rPr>
          <w:rFonts w:ascii="Times New Roman" w:eastAsia="Times New Roman" w:hAnsi="Times New Roman" w:cs="Times New Roman"/>
          <w:sz w:val="28"/>
          <w:szCs w:val="28"/>
        </w:rPr>
        <w:t>3. Якщо результати, зазначені в абзацах другому, третьому, четвертому або п’ятому підпункту 2 пункту 2 цього додатка</w:t>
      </w:r>
      <w:r w:rsidR="0085471E" w:rsidRPr="00DD1D9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D1D90">
        <w:rPr>
          <w:rFonts w:ascii="Times New Roman" w:eastAsia="Times New Roman" w:hAnsi="Times New Roman" w:cs="Times New Roman"/>
          <w:sz w:val="28"/>
          <w:szCs w:val="28"/>
        </w:rPr>
        <w:t xml:space="preserve"> не досягнуто, модель та всі еквівалентні моделі вважаються такими, що не відповідають вимогам</w:t>
      </w:r>
      <w:r w:rsidR="0085471E" w:rsidRPr="00DD1D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1013" w:rsidRPr="00DD1D90">
        <w:rPr>
          <w:rFonts w:ascii="Times New Roman" w:eastAsia="Times New Roman" w:hAnsi="Times New Roman" w:cs="Times New Roman"/>
          <w:sz w:val="28"/>
          <w:szCs w:val="28"/>
        </w:rPr>
        <w:t xml:space="preserve">цього </w:t>
      </w:r>
      <w:r w:rsidRPr="00DD1D90">
        <w:rPr>
          <w:rFonts w:ascii="Times New Roman" w:eastAsia="Times New Roman" w:hAnsi="Times New Roman" w:cs="Times New Roman"/>
          <w:sz w:val="28"/>
          <w:szCs w:val="28"/>
        </w:rPr>
        <w:t>Технічного регламенту.</w:t>
      </w:r>
    </w:p>
    <w:p w14:paraId="635ECE4B" w14:textId="77777777" w:rsidR="00D462D8" w:rsidRPr="00DD1D90" w:rsidRDefault="00D462D8" w:rsidP="00C97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556C82" w14:textId="60C99EB6" w:rsidR="0085471E" w:rsidRPr="00DD1D90" w:rsidRDefault="0085471E" w:rsidP="00C97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1D90">
        <w:rPr>
          <w:rFonts w:ascii="Times New Roman" w:eastAsia="Times New Roman" w:hAnsi="Times New Roman" w:cs="Times New Roman"/>
          <w:sz w:val="28"/>
          <w:szCs w:val="28"/>
        </w:rPr>
        <w:t>4. Якщо результату, зазначеного в абзаці шостому підпункту 2 пункту 2 цього додатка не досягнуто, органи державного ринкового нагляду вибирають для перевірки три додаткові одиниці тієї ж моделі. Як альтернатива, три вибрані додаткові одиниці можуть бути однієї або більш ніж однієї еквівалентної моделі.</w:t>
      </w:r>
    </w:p>
    <w:p w14:paraId="471D09A2" w14:textId="77777777" w:rsidR="00D462D8" w:rsidRPr="00DD1D90" w:rsidRDefault="00D462D8" w:rsidP="00C97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BEC5C6" w14:textId="5A313C5B" w:rsidR="001718B9" w:rsidRPr="00DD1D90" w:rsidRDefault="00D90D63" w:rsidP="00C97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1D90">
        <w:rPr>
          <w:rFonts w:ascii="Times New Roman" w:eastAsia="Times New Roman" w:hAnsi="Times New Roman" w:cs="Times New Roman"/>
          <w:sz w:val="28"/>
          <w:szCs w:val="28"/>
        </w:rPr>
        <w:t xml:space="preserve">5. Модель вважають такою, що відповідає застосовним вимогам, якщо для цих трьох </w:t>
      </w:r>
      <w:r w:rsidR="00843276" w:rsidRPr="00DD1D90">
        <w:rPr>
          <w:rFonts w:ascii="Times New Roman" w:eastAsia="Times New Roman" w:hAnsi="Times New Roman" w:cs="Times New Roman"/>
          <w:sz w:val="28"/>
          <w:szCs w:val="28"/>
        </w:rPr>
        <w:t>одиниць</w:t>
      </w:r>
      <w:r w:rsidRPr="00DD1D90">
        <w:rPr>
          <w:rFonts w:ascii="Times New Roman" w:eastAsia="Times New Roman" w:hAnsi="Times New Roman" w:cs="Times New Roman"/>
          <w:sz w:val="28"/>
          <w:szCs w:val="28"/>
        </w:rPr>
        <w:t xml:space="preserve"> середнє </w:t>
      </w:r>
      <w:r w:rsidR="00843276" w:rsidRPr="00DD1D90">
        <w:rPr>
          <w:rFonts w:ascii="Times New Roman" w:eastAsia="Times New Roman" w:hAnsi="Times New Roman" w:cs="Times New Roman"/>
          <w:sz w:val="28"/>
          <w:szCs w:val="28"/>
        </w:rPr>
        <w:t xml:space="preserve">арифметичне визначених </w:t>
      </w:r>
      <w:r w:rsidR="00C308C0" w:rsidRPr="00DD1D90">
        <w:rPr>
          <w:rFonts w:ascii="Times New Roman" w:eastAsia="Times New Roman" w:hAnsi="Times New Roman" w:cs="Times New Roman"/>
          <w:sz w:val="28"/>
          <w:szCs w:val="28"/>
        </w:rPr>
        <w:t xml:space="preserve">значення </w:t>
      </w:r>
      <w:r w:rsidR="00843276" w:rsidRPr="00DD1D90">
        <w:rPr>
          <w:rFonts w:ascii="Times New Roman" w:eastAsia="Times New Roman" w:hAnsi="Times New Roman" w:cs="Times New Roman"/>
          <w:sz w:val="28"/>
          <w:szCs w:val="28"/>
        </w:rPr>
        <w:t>відповідає відповідним допустимим похибкам</w:t>
      </w:r>
      <w:r w:rsidRPr="00DD1D90">
        <w:rPr>
          <w:rFonts w:ascii="Times New Roman" w:eastAsia="Times New Roman" w:hAnsi="Times New Roman" w:cs="Times New Roman"/>
          <w:sz w:val="28"/>
          <w:szCs w:val="28"/>
        </w:rPr>
        <w:t>, наведеним у таблиці 2</w:t>
      </w:r>
      <w:r w:rsidR="00843276" w:rsidRPr="00DD1D90">
        <w:rPr>
          <w:rFonts w:ascii="Times New Roman" w:eastAsia="Times New Roman" w:hAnsi="Times New Roman" w:cs="Times New Roman"/>
          <w:sz w:val="28"/>
          <w:szCs w:val="28"/>
        </w:rPr>
        <w:t xml:space="preserve"> цього додатка</w:t>
      </w:r>
      <w:r w:rsidRPr="00DD1D9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0076564" w14:textId="77777777" w:rsidR="00D462D8" w:rsidRPr="00DD1D90" w:rsidRDefault="00D462D8" w:rsidP="00C97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293EBF" w14:textId="487CA4EA" w:rsidR="00843276" w:rsidRPr="00DD1D90" w:rsidRDefault="00843276" w:rsidP="00C97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1D90">
        <w:rPr>
          <w:rFonts w:ascii="Times New Roman" w:eastAsia="Times New Roman" w:hAnsi="Times New Roman" w:cs="Times New Roman"/>
          <w:sz w:val="28"/>
          <w:szCs w:val="28"/>
        </w:rPr>
        <w:t>6. Якщо результату, зазначеного в пункті 5</w:t>
      </w:r>
      <w:r w:rsidR="003A6806" w:rsidRPr="00DD1D90">
        <w:rPr>
          <w:rFonts w:ascii="Times New Roman" w:eastAsia="Times New Roman" w:hAnsi="Times New Roman" w:cs="Times New Roman"/>
          <w:sz w:val="28"/>
          <w:szCs w:val="28"/>
        </w:rPr>
        <w:t xml:space="preserve"> цього додатка</w:t>
      </w:r>
      <w:r w:rsidRPr="00DD1D90">
        <w:rPr>
          <w:rFonts w:ascii="Times New Roman" w:eastAsia="Times New Roman" w:hAnsi="Times New Roman" w:cs="Times New Roman"/>
          <w:sz w:val="28"/>
          <w:szCs w:val="28"/>
        </w:rPr>
        <w:t xml:space="preserve">, не досягнуто, модель і всі еквівалентні моделі вважають такими, що не відповідають </w:t>
      </w:r>
      <w:r w:rsidR="008A5995" w:rsidRPr="00DD1D90">
        <w:rPr>
          <w:rFonts w:ascii="Times New Roman" w:eastAsia="Times New Roman" w:hAnsi="Times New Roman" w:cs="Times New Roman"/>
          <w:sz w:val="28"/>
          <w:szCs w:val="28"/>
        </w:rPr>
        <w:t xml:space="preserve">вимогам </w:t>
      </w:r>
      <w:r w:rsidR="00AA1013" w:rsidRPr="00DD1D90">
        <w:rPr>
          <w:rFonts w:ascii="Times New Roman" w:eastAsia="Times New Roman" w:hAnsi="Times New Roman" w:cs="Times New Roman"/>
          <w:sz w:val="28"/>
          <w:szCs w:val="28"/>
        </w:rPr>
        <w:t xml:space="preserve">цього </w:t>
      </w:r>
      <w:r w:rsidR="008A5995" w:rsidRPr="00DD1D90">
        <w:rPr>
          <w:rFonts w:ascii="Times New Roman" w:eastAsia="Times New Roman" w:hAnsi="Times New Roman" w:cs="Times New Roman"/>
          <w:sz w:val="28"/>
          <w:szCs w:val="28"/>
        </w:rPr>
        <w:t>Технічного регламенту</w:t>
      </w:r>
      <w:r w:rsidRPr="00DD1D9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D7EB4A2" w14:textId="77777777" w:rsidR="009950A0" w:rsidRPr="00DD1D90" w:rsidRDefault="009950A0" w:rsidP="00C971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EEA06A" w14:textId="70CF6DB0" w:rsidR="008A5995" w:rsidRPr="00DD1D90" w:rsidRDefault="008A5995" w:rsidP="00C971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1D90">
        <w:rPr>
          <w:rFonts w:ascii="Times New Roman" w:eastAsia="Times New Roman" w:hAnsi="Times New Roman" w:cs="Times New Roman"/>
          <w:sz w:val="28"/>
          <w:szCs w:val="28"/>
        </w:rPr>
        <w:t xml:space="preserve">Органи державного ринкового нагляду використовують вимірювання та розрахунки, наведені у додатку 3 до </w:t>
      </w:r>
      <w:r w:rsidR="00AA1013" w:rsidRPr="00DD1D90">
        <w:rPr>
          <w:rFonts w:ascii="Times New Roman" w:eastAsia="Times New Roman" w:hAnsi="Times New Roman" w:cs="Times New Roman"/>
          <w:sz w:val="28"/>
          <w:szCs w:val="28"/>
        </w:rPr>
        <w:t xml:space="preserve">цього </w:t>
      </w:r>
      <w:r w:rsidRPr="00DD1D90">
        <w:rPr>
          <w:rFonts w:ascii="Times New Roman" w:eastAsia="Times New Roman" w:hAnsi="Times New Roman" w:cs="Times New Roman"/>
          <w:sz w:val="28"/>
          <w:szCs w:val="28"/>
        </w:rPr>
        <w:t>Технічного регламенту.</w:t>
      </w:r>
    </w:p>
    <w:p w14:paraId="4D7EB883" w14:textId="77777777" w:rsidR="009950A0" w:rsidRPr="00DD1D90" w:rsidRDefault="009950A0" w:rsidP="00C97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97BFB8" w14:textId="02F0F67B" w:rsidR="005B69E9" w:rsidRPr="00DD1D90" w:rsidRDefault="009950A0" w:rsidP="00C97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1D9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D5B75" w:rsidRPr="00DD1D90">
        <w:rPr>
          <w:rFonts w:ascii="Times New Roman" w:eastAsia="Times New Roman" w:hAnsi="Times New Roman" w:cs="Times New Roman"/>
          <w:sz w:val="28"/>
          <w:szCs w:val="28"/>
        </w:rPr>
        <w:t>ргани державного ринкового нагляду застосовують лише</w:t>
      </w:r>
      <w:r w:rsidRPr="00DD1D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5B75" w:rsidRPr="00DD1D90">
        <w:rPr>
          <w:rFonts w:ascii="Times New Roman" w:eastAsia="Times New Roman" w:hAnsi="Times New Roman" w:cs="Times New Roman"/>
          <w:sz w:val="28"/>
          <w:szCs w:val="28"/>
        </w:rPr>
        <w:t xml:space="preserve">допустимі похибки, наведені в таблиці </w:t>
      </w:r>
      <w:r w:rsidR="008A5995" w:rsidRPr="00DD1D90">
        <w:rPr>
          <w:rFonts w:ascii="Times New Roman" w:eastAsia="Times New Roman" w:hAnsi="Times New Roman" w:cs="Times New Roman"/>
          <w:sz w:val="28"/>
          <w:szCs w:val="28"/>
        </w:rPr>
        <w:t>2</w:t>
      </w:r>
      <w:r w:rsidR="00FD5B75" w:rsidRPr="00DD1D90">
        <w:rPr>
          <w:rFonts w:ascii="Times New Roman" w:eastAsia="Times New Roman" w:hAnsi="Times New Roman" w:cs="Times New Roman"/>
          <w:sz w:val="28"/>
          <w:szCs w:val="28"/>
        </w:rPr>
        <w:t xml:space="preserve">, і використовують процедуру, описану </w:t>
      </w:r>
      <w:r w:rsidR="003A6806" w:rsidRPr="00DD1D90">
        <w:rPr>
          <w:rFonts w:ascii="Times New Roman" w:eastAsia="Times New Roman" w:hAnsi="Times New Roman" w:cs="Times New Roman"/>
          <w:sz w:val="28"/>
          <w:szCs w:val="28"/>
        </w:rPr>
        <w:t>у цьому</w:t>
      </w:r>
      <w:r w:rsidR="00FD5B75" w:rsidRPr="00DD1D90">
        <w:rPr>
          <w:rFonts w:ascii="Times New Roman" w:eastAsia="Times New Roman" w:hAnsi="Times New Roman" w:cs="Times New Roman"/>
          <w:sz w:val="28"/>
          <w:szCs w:val="28"/>
        </w:rPr>
        <w:t xml:space="preserve"> додатк</w:t>
      </w:r>
      <w:r w:rsidR="003A6806" w:rsidRPr="00DD1D90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D5B75" w:rsidRPr="00DD1D9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A5995" w:rsidRPr="00DD1D90">
        <w:rPr>
          <w:rFonts w:ascii="Times New Roman" w:eastAsia="Times New Roman" w:hAnsi="Times New Roman" w:cs="Times New Roman"/>
          <w:sz w:val="28"/>
          <w:szCs w:val="28"/>
        </w:rPr>
        <w:t xml:space="preserve">Для параметрів, наведених у </w:t>
      </w:r>
      <w:r w:rsidR="003A6806" w:rsidRPr="00DD1D90">
        <w:rPr>
          <w:rFonts w:ascii="Times New Roman" w:eastAsia="Times New Roman" w:hAnsi="Times New Roman" w:cs="Times New Roman"/>
          <w:sz w:val="28"/>
          <w:szCs w:val="28"/>
        </w:rPr>
        <w:t>т</w:t>
      </w:r>
      <w:r w:rsidR="008A5995" w:rsidRPr="00DD1D90">
        <w:rPr>
          <w:rFonts w:ascii="Times New Roman" w:eastAsia="Times New Roman" w:hAnsi="Times New Roman" w:cs="Times New Roman"/>
          <w:sz w:val="28"/>
          <w:szCs w:val="28"/>
        </w:rPr>
        <w:t xml:space="preserve">аблиці 2, не повинні застосовуватися </w:t>
      </w:r>
      <w:r w:rsidR="00FD5B75" w:rsidRPr="00DD1D90">
        <w:rPr>
          <w:rFonts w:ascii="Times New Roman" w:eastAsia="Times New Roman" w:hAnsi="Times New Roman" w:cs="Times New Roman"/>
          <w:sz w:val="28"/>
          <w:szCs w:val="28"/>
        </w:rPr>
        <w:t xml:space="preserve">інші похибки, наприклад ті, що встановлені в національних стандартах, що є ідентичними гармонізованим європейським стандартам або </w:t>
      </w:r>
      <w:r w:rsidR="005B69E9" w:rsidRPr="00DD1D9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D5B75" w:rsidRPr="00DD1D90">
        <w:rPr>
          <w:rFonts w:ascii="Times New Roman" w:eastAsia="Times New Roman" w:hAnsi="Times New Roman" w:cs="Times New Roman"/>
          <w:sz w:val="28"/>
          <w:szCs w:val="28"/>
        </w:rPr>
        <w:t>будь-як</w:t>
      </w:r>
      <w:r w:rsidR="005B69E9" w:rsidRPr="00DD1D90"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FD5B75" w:rsidRPr="00DD1D90">
        <w:rPr>
          <w:rFonts w:ascii="Times New Roman" w:eastAsia="Times New Roman" w:hAnsi="Times New Roman" w:cs="Times New Roman"/>
          <w:sz w:val="28"/>
          <w:szCs w:val="28"/>
        </w:rPr>
        <w:t xml:space="preserve"> інш</w:t>
      </w:r>
      <w:r w:rsidR="005B69E9" w:rsidRPr="00DD1D90"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FD5B75" w:rsidRPr="00DD1D90">
        <w:rPr>
          <w:rFonts w:ascii="Times New Roman" w:eastAsia="Times New Roman" w:hAnsi="Times New Roman" w:cs="Times New Roman"/>
          <w:sz w:val="28"/>
          <w:szCs w:val="28"/>
        </w:rPr>
        <w:t xml:space="preserve"> метод</w:t>
      </w:r>
      <w:r w:rsidR="005B69E9" w:rsidRPr="00DD1D90">
        <w:rPr>
          <w:rFonts w:ascii="Times New Roman" w:eastAsia="Times New Roman" w:hAnsi="Times New Roman" w:cs="Times New Roman"/>
          <w:sz w:val="28"/>
          <w:szCs w:val="28"/>
        </w:rPr>
        <w:t>і</w:t>
      </w:r>
      <w:r w:rsidR="00FD5B75" w:rsidRPr="00DD1D90">
        <w:rPr>
          <w:rFonts w:ascii="Times New Roman" w:eastAsia="Times New Roman" w:hAnsi="Times New Roman" w:cs="Times New Roman"/>
          <w:sz w:val="28"/>
          <w:szCs w:val="28"/>
        </w:rPr>
        <w:t xml:space="preserve"> вимірювання.</w:t>
      </w:r>
    </w:p>
    <w:p w14:paraId="74C2C950" w14:textId="5D52D5B1" w:rsidR="00F45B64" w:rsidRPr="00DD1D90" w:rsidRDefault="00FD5B75" w:rsidP="00122D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D1D9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Таблиця </w:t>
      </w:r>
      <w:r w:rsidR="00D90D63" w:rsidRPr="00DD1D90">
        <w:rPr>
          <w:rFonts w:ascii="Times New Roman" w:eastAsia="Times New Roman" w:hAnsi="Times New Roman" w:cs="Times New Roman"/>
          <w:sz w:val="28"/>
          <w:szCs w:val="28"/>
        </w:rPr>
        <w:t>2</w:t>
      </w:r>
    </w:p>
    <w:p w14:paraId="6FB1F7C6" w14:textId="77777777" w:rsidR="00F45B64" w:rsidRPr="00DD1D90" w:rsidRDefault="00FD5B75" w:rsidP="00122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D1D90">
        <w:rPr>
          <w:rFonts w:ascii="Times New Roman" w:eastAsia="Times New Roman" w:hAnsi="Times New Roman" w:cs="Times New Roman"/>
          <w:b/>
          <w:sz w:val="26"/>
          <w:szCs w:val="26"/>
        </w:rPr>
        <w:t>Допустимі похибки</w:t>
      </w:r>
    </w:p>
    <w:p w14:paraId="1C32FE9F" w14:textId="77777777" w:rsidR="00122D25" w:rsidRPr="00DD1D90" w:rsidRDefault="00122D25" w:rsidP="00122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af8"/>
        <w:tblW w:w="9637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3"/>
        <w:gridCol w:w="5244"/>
      </w:tblGrid>
      <w:tr w:rsidR="005B69E9" w:rsidRPr="00DD1D90" w14:paraId="4505D44D" w14:textId="77777777" w:rsidTr="003A5B05">
        <w:trPr>
          <w:trHeight w:val="873"/>
        </w:trPr>
        <w:tc>
          <w:tcPr>
            <w:tcW w:w="4393" w:type="dxa"/>
            <w:vAlign w:val="center"/>
          </w:tcPr>
          <w:p w14:paraId="197B4E8F" w14:textId="1E874985" w:rsidR="005B69E9" w:rsidRPr="00DD1D90" w:rsidRDefault="005B69E9" w:rsidP="003A5B05">
            <w:pPr>
              <w:ind w:left="2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D1D90">
              <w:rPr>
                <w:rStyle w:val="rvts48"/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Параметри</w:t>
            </w:r>
          </w:p>
        </w:tc>
        <w:tc>
          <w:tcPr>
            <w:tcW w:w="5244" w:type="dxa"/>
            <w:vAlign w:val="center"/>
          </w:tcPr>
          <w:p w14:paraId="2A817F85" w14:textId="1E39E939" w:rsidR="005B69E9" w:rsidRPr="00DD1D90" w:rsidRDefault="005B69E9" w:rsidP="003A5B05">
            <w:pPr>
              <w:ind w:left="2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D1D90">
              <w:rPr>
                <w:rStyle w:val="rvts48"/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Допустимі відхилення для цілей верифікації</w:t>
            </w:r>
          </w:p>
        </w:tc>
      </w:tr>
      <w:tr w:rsidR="005B69E9" w:rsidRPr="00DD1D90" w14:paraId="130E858A" w14:textId="77777777" w:rsidTr="00122D25">
        <w:trPr>
          <w:trHeight w:val="1268"/>
        </w:trPr>
        <w:tc>
          <w:tcPr>
            <w:tcW w:w="4393" w:type="dxa"/>
          </w:tcPr>
          <w:p w14:paraId="0BAE76A7" w14:textId="6D6AE902" w:rsidR="005B69E9" w:rsidRPr="00DD1D90" w:rsidRDefault="005B69E9" w:rsidP="00122D25">
            <w:pPr>
              <w:ind w:left="25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D1D90">
              <w:rPr>
                <w:rFonts w:ascii="Times New Roman" w:hAnsi="Times New Roman" w:cs="Times New Roman"/>
                <w:sz w:val="28"/>
                <w:szCs w:val="28"/>
              </w:rPr>
              <w:t>Коефіцієнт корисної дії джерела живлення (%)</w:t>
            </w:r>
          </w:p>
        </w:tc>
        <w:tc>
          <w:tcPr>
            <w:tcW w:w="5244" w:type="dxa"/>
          </w:tcPr>
          <w:p w14:paraId="3F0A8EA1" w14:textId="698A2C42" w:rsidR="005B69E9" w:rsidRPr="00DD1D90" w:rsidRDefault="005B69E9" w:rsidP="0012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2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D90">
              <w:rPr>
                <w:rFonts w:ascii="Times New Roman" w:hAnsi="Times New Roman" w:cs="Times New Roman"/>
                <w:sz w:val="28"/>
                <w:szCs w:val="28"/>
              </w:rPr>
              <w:t>Визначене значення (</w:t>
            </w:r>
            <w:r w:rsidRPr="00DD1D90">
              <w:rPr>
                <w:rStyle w:val="rvts37"/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*1</w:t>
            </w:r>
            <w:r w:rsidRPr="00DD1D90">
              <w:rPr>
                <w:rFonts w:ascii="Times New Roman" w:hAnsi="Times New Roman" w:cs="Times New Roman"/>
                <w:sz w:val="28"/>
                <w:szCs w:val="28"/>
              </w:rPr>
              <w:t xml:space="preserve">) не повинне бути меншим </w:t>
            </w:r>
            <w:r w:rsidR="00CC7494" w:rsidRPr="00DD1D90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r w:rsidRPr="00DD1D90">
              <w:rPr>
                <w:rFonts w:ascii="Times New Roman" w:hAnsi="Times New Roman" w:cs="Times New Roman"/>
                <w:sz w:val="28"/>
                <w:szCs w:val="28"/>
              </w:rPr>
              <w:t xml:space="preserve"> за</w:t>
            </w:r>
            <w:r w:rsidR="00CC7494" w:rsidRPr="00DD1D90">
              <w:rPr>
                <w:rFonts w:ascii="Times New Roman" w:hAnsi="Times New Roman" w:cs="Times New Roman"/>
                <w:sz w:val="28"/>
                <w:szCs w:val="28"/>
              </w:rPr>
              <w:t xml:space="preserve">декларованого </w:t>
            </w:r>
            <w:r w:rsidRPr="00DD1D90">
              <w:rPr>
                <w:rFonts w:ascii="Times New Roman" w:hAnsi="Times New Roman" w:cs="Times New Roman"/>
                <w:sz w:val="28"/>
                <w:szCs w:val="28"/>
              </w:rPr>
              <w:t>значення більше ніж на 2 %.</w:t>
            </w:r>
          </w:p>
        </w:tc>
      </w:tr>
      <w:tr w:rsidR="005B69E9" w:rsidRPr="00DD1D90" w14:paraId="2086900B" w14:textId="77777777" w:rsidTr="00122D25">
        <w:trPr>
          <w:trHeight w:val="1268"/>
        </w:trPr>
        <w:tc>
          <w:tcPr>
            <w:tcW w:w="4393" w:type="dxa"/>
          </w:tcPr>
          <w:p w14:paraId="2F25CAD0" w14:textId="06799486" w:rsidR="005B69E9" w:rsidRPr="00DD1D90" w:rsidRDefault="005B69E9" w:rsidP="003A5B05">
            <w:pPr>
              <w:ind w:left="2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D90">
              <w:rPr>
                <w:rFonts w:ascii="Times New Roman" w:hAnsi="Times New Roman" w:cs="Times New Roman"/>
                <w:sz w:val="28"/>
                <w:szCs w:val="28"/>
              </w:rPr>
              <w:t xml:space="preserve">Споживання </w:t>
            </w:r>
            <w:r w:rsidR="003A5B05" w:rsidRPr="00DD1D90">
              <w:rPr>
                <w:rFonts w:ascii="Times New Roman" w:hAnsi="Times New Roman" w:cs="Times New Roman"/>
                <w:sz w:val="28"/>
                <w:szCs w:val="28"/>
              </w:rPr>
              <w:t>потужності</w:t>
            </w:r>
            <w:r w:rsidRPr="00DD1D90">
              <w:rPr>
                <w:rFonts w:ascii="Times New Roman" w:hAnsi="Times New Roman" w:cs="Times New Roman"/>
                <w:sz w:val="28"/>
                <w:szCs w:val="28"/>
              </w:rPr>
              <w:t xml:space="preserve"> у стані простою (Вт)</w:t>
            </w:r>
          </w:p>
        </w:tc>
        <w:tc>
          <w:tcPr>
            <w:tcW w:w="5244" w:type="dxa"/>
          </w:tcPr>
          <w:p w14:paraId="57E25292" w14:textId="5BE8CC25" w:rsidR="005B69E9" w:rsidRPr="00DD1D90" w:rsidRDefault="005B69E9" w:rsidP="0012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2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D90">
              <w:rPr>
                <w:rFonts w:ascii="Times New Roman" w:hAnsi="Times New Roman" w:cs="Times New Roman"/>
                <w:sz w:val="28"/>
                <w:szCs w:val="28"/>
              </w:rPr>
              <w:t>Визначене значення (</w:t>
            </w:r>
            <w:r w:rsidRPr="00DD1D90">
              <w:rPr>
                <w:rStyle w:val="rvts37"/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*1</w:t>
            </w:r>
            <w:r w:rsidRPr="00DD1D90">
              <w:rPr>
                <w:rFonts w:ascii="Times New Roman" w:hAnsi="Times New Roman" w:cs="Times New Roman"/>
                <w:sz w:val="28"/>
                <w:szCs w:val="28"/>
              </w:rPr>
              <w:t>) не повинне перевищувати за</w:t>
            </w:r>
            <w:r w:rsidR="00D510E8" w:rsidRPr="00DD1D90">
              <w:rPr>
                <w:rFonts w:ascii="Times New Roman" w:hAnsi="Times New Roman" w:cs="Times New Roman"/>
                <w:sz w:val="28"/>
                <w:szCs w:val="28"/>
              </w:rPr>
              <w:t>деклароване</w:t>
            </w:r>
            <w:r w:rsidRPr="00DD1D90">
              <w:rPr>
                <w:rFonts w:ascii="Times New Roman" w:hAnsi="Times New Roman" w:cs="Times New Roman"/>
                <w:sz w:val="28"/>
                <w:szCs w:val="28"/>
              </w:rPr>
              <w:t xml:space="preserve"> значення більше ніж на 10 %.</w:t>
            </w:r>
          </w:p>
        </w:tc>
      </w:tr>
    </w:tbl>
    <w:p w14:paraId="13C5BD1A" w14:textId="7D7898F6" w:rsidR="005B69E9" w:rsidRPr="00DD1D90" w:rsidRDefault="005B69E9" w:rsidP="00122D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D90">
        <w:rPr>
          <w:rFonts w:ascii="Times New Roman" w:eastAsia="Times New Roman" w:hAnsi="Times New Roman" w:cs="Times New Roman"/>
          <w:sz w:val="28"/>
          <w:szCs w:val="24"/>
          <w:vertAlign w:val="superscript"/>
        </w:rPr>
        <w:t>*1</w:t>
      </w:r>
      <w:r w:rsidRPr="00DD1D90">
        <w:rPr>
          <w:rStyle w:val="rvts82"/>
          <w:color w:val="333333"/>
          <w:sz w:val="20"/>
          <w:szCs w:val="20"/>
          <w:shd w:val="clear" w:color="auto" w:fill="FFFFFF"/>
        </w:rPr>
        <w:t xml:space="preserve"> </w:t>
      </w:r>
      <w:r w:rsidRPr="00DD1D90">
        <w:rPr>
          <w:rFonts w:ascii="Times New Roman" w:eastAsia="Times New Roman" w:hAnsi="Times New Roman" w:cs="Times New Roman"/>
          <w:sz w:val="24"/>
          <w:szCs w:val="24"/>
        </w:rPr>
        <w:t>У разі випробування трьох додаткових одиниць, як передбачено пунктом 4</w:t>
      </w:r>
      <w:r w:rsidR="00A03C54" w:rsidRPr="00DD1D90">
        <w:rPr>
          <w:rFonts w:ascii="Times New Roman" w:eastAsia="Times New Roman" w:hAnsi="Times New Roman" w:cs="Times New Roman"/>
          <w:sz w:val="24"/>
          <w:szCs w:val="24"/>
        </w:rPr>
        <w:t xml:space="preserve"> цього додатка,</w:t>
      </w:r>
      <w:r w:rsidRPr="00DD1D90">
        <w:rPr>
          <w:rFonts w:ascii="Times New Roman" w:eastAsia="Times New Roman" w:hAnsi="Times New Roman" w:cs="Times New Roman"/>
          <w:sz w:val="24"/>
          <w:szCs w:val="24"/>
        </w:rPr>
        <w:t xml:space="preserve"> визначене значення означає середнє арифметичне значення показників, визначених для цих трьох додаткових одиниць.</w:t>
      </w:r>
    </w:p>
    <w:p w14:paraId="542ACB44" w14:textId="77777777" w:rsidR="00C176DA" w:rsidRPr="00DD1D90" w:rsidRDefault="00C176DA" w:rsidP="00122D2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142"/>
          <w:tab w:val="left" w:pos="0"/>
        </w:tabs>
        <w:spacing w:after="0" w:line="240" w:lineRule="auto"/>
        <w:ind w:right="2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C4C580" w14:textId="77777777" w:rsidR="00C176DA" w:rsidRPr="00DD1D90" w:rsidRDefault="00C176DA" w:rsidP="00122D2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142"/>
          <w:tab w:val="left" w:pos="0"/>
        </w:tabs>
        <w:spacing w:after="0" w:line="240" w:lineRule="auto"/>
        <w:ind w:right="23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B8F8B9" w14:textId="07FDE9C0" w:rsidR="00C176DA" w:rsidRPr="00C176DA" w:rsidRDefault="00C176DA" w:rsidP="00122D2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1D90">
        <w:rPr>
          <w:rFonts w:ascii="Times New Roman" w:hAnsi="Times New Roman" w:cs="Times New Roman"/>
          <w:sz w:val="28"/>
          <w:szCs w:val="28"/>
        </w:rPr>
        <w:t>___</w:t>
      </w:r>
      <w:bookmarkStart w:id="6" w:name="_GoBack"/>
      <w:bookmarkEnd w:id="6"/>
      <w:r w:rsidRPr="00DD1D90">
        <w:rPr>
          <w:rFonts w:ascii="Times New Roman" w:hAnsi="Times New Roman" w:cs="Times New Roman"/>
          <w:sz w:val="28"/>
          <w:szCs w:val="28"/>
        </w:rPr>
        <w:t>_________________</w:t>
      </w:r>
    </w:p>
    <w:sectPr w:rsidR="00C176DA" w:rsidRPr="00C176DA" w:rsidSect="00A800B8">
      <w:headerReference w:type="default" r:id="rId8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E39AC5" w14:textId="77777777" w:rsidR="00D84286" w:rsidRDefault="00D84286">
      <w:pPr>
        <w:spacing w:after="0" w:line="240" w:lineRule="auto"/>
      </w:pPr>
      <w:r>
        <w:separator/>
      </w:r>
    </w:p>
  </w:endnote>
  <w:endnote w:type="continuationSeparator" w:id="0">
    <w:p w14:paraId="7CAA6CD2" w14:textId="77777777" w:rsidR="00D84286" w:rsidRDefault="00D84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0D623" w14:textId="77777777" w:rsidR="00D84286" w:rsidRDefault="00D84286">
      <w:pPr>
        <w:spacing w:after="0" w:line="240" w:lineRule="auto"/>
      </w:pPr>
      <w:r>
        <w:separator/>
      </w:r>
    </w:p>
  </w:footnote>
  <w:footnote w:type="continuationSeparator" w:id="0">
    <w:p w14:paraId="7166EE13" w14:textId="77777777" w:rsidR="00D84286" w:rsidRDefault="00D84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B22B96" w14:textId="77777777" w:rsidR="00F45B64" w:rsidRDefault="00FD5B7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left" w:pos="1890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DD1D90">
      <w:rPr>
        <w:rFonts w:ascii="Times New Roman" w:eastAsia="Times New Roman" w:hAnsi="Times New Roman" w:cs="Times New Roman"/>
        <w:noProof/>
        <w:color w:val="000000"/>
        <w:sz w:val="28"/>
        <w:szCs w:val="28"/>
      </w:rPr>
      <w:t>3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  <w:r>
      <w:rPr>
        <w:rFonts w:ascii="Times New Roman" w:eastAsia="Times New Roman" w:hAnsi="Times New Roman" w:cs="Times New Roman"/>
        <w:color w:val="000000"/>
        <w:sz w:val="28"/>
        <w:szCs w:val="28"/>
      </w:rPr>
      <w:t xml:space="preserve">                           Продовження додатка 4</w:t>
    </w:r>
  </w:p>
  <w:p w14:paraId="593EC65F" w14:textId="77777777" w:rsidR="00F45B64" w:rsidRDefault="00F45B6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45B64"/>
    <w:rsid w:val="00094E64"/>
    <w:rsid w:val="00122D25"/>
    <w:rsid w:val="00134934"/>
    <w:rsid w:val="001718B9"/>
    <w:rsid w:val="0017343A"/>
    <w:rsid w:val="001817E2"/>
    <w:rsid w:val="001B665E"/>
    <w:rsid w:val="001C18C9"/>
    <w:rsid w:val="001C7B08"/>
    <w:rsid w:val="002E4B9B"/>
    <w:rsid w:val="002E6A1E"/>
    <w:rsid w:val="00331C15"/>
    <w:rsid w:val="00340CF3"/>
    <w:rsid w:val="00347DE7"/>
    <w:rsid w:val="00361A1A"/>
    <w:rsid w:val="003657F4"/>
    <w:rsid w:val="003A1E5B"/>
    <w:rsid w:val="003A5B05"/>
    <w:rsid w:val="003A670D"/>
    <w:rsid w:val="003A6806"/>
    <w:rsid w:val="003C231B"/>
    <w:rsid w:val="003E71C6"/>
    <w:rsid w:val="004B6504"/>
    <w:rsid w:val="004C55F3"/>
    <w:rsid w:val="004F3BDF"/>
    <w:rsid w:val="005350A8"/>
    <w:rsid w:val="00565788"/>
    <w:rsid w:val="00584A19"/>
    <w:rsid w:val="005B1AF1"/>
    <w:rsid w:val="005B69E9"/>
    <w:rsid w:val="00603313"/>
    <w:rsid w:val="00613DAC"/>
    <w:rsid w:val="0064529E"/>
    <w:rsid w:val="00645FF9"/>
    <w:rsid w:val="00655988"/>
    <w:rsid w:val="00666BFE"/>
    <w:rsid w:val="00694A65"/>
    <w:rsid w:val="006B0F84"/>
    <w:rsid w:val="006D076E"/>
    <w:rsid w:val="00700C23"/>
    <w:rsid w:val="007400AD"/>
    <w:rsid w:val="0076084C"/>
    <w:rsid w:val="00766C4C"/>
    <w:rsid w:val="007A54D2"/>
    <w:rsid w:val="007A597F"/>
    <w:rsid w:val="007C06B0"/>
    <w:rsid w:val="007D207A"/>
    <w:rsid w:val="007E2C94"/>
    <w:rsid w:val="007E4A10"/>
    <w:rsid w:val="00843276"/>
    <w:rsid w:val="0085471E"/>
    <w:rsid w:val="00867C6B"/>
    <w:rsid w:val="0088399B"/>
    <w:rsid w:val="008A5995"/>
    <w:rsid w:val="008E001B"/>
    <w:rsid w:val="00950619"/>
    <w:rsid w:val="009950A0"/>
    <w:rsid w:val="009A0568"/>
    <w:rsid w:val="009A7282"/>
    <w:rsid w:val="009C1C66"/>
    <w:rsid w:val="009C3AB4"/>
    <w:rsid w:val="009D2A82"/>
    <w:rsid w:val="00A03C54"/>
    <w:rsid w:val="00A61052"/>
    <w:rsid w:val="00A75ACF"/>
    <w:rsid w:val="00A800B8"/>
    <w:rsid w:val="00A801A2"/>
    <w:rsid w:val="00AA1013"/>
    <w:rsid w:val="00AE3A95"/>
    <w:rsid w:val="00B34130"/>
    <w:rsid w:val="00B358B3"/>
    <w:rsid w:val="00B56947"/>
    <w:rsid w:val="00B75805"/>
    <w:rsid w:val="00B76E4A"/>
    <w:rsid w:val="00B879E6"/>
    <w:rsid w:val="00BC3864"/>
    <w:rsid w:val="00BD3105"/>
    <w:rsid w:val="00C171E2"/>
    <w:rsid w:val="00C176DA"/>
    <w:rsid w:val="00C308C0"/>
    <w:rsid w:val="00C47C52"/>
    <w:rsid w:val="00C56537"/>
    <w:rsid w:val="00C85138"/>
    <w:rsid w:val="00C9713A"/>
    <w:rsid w:val="00CB4107"/>
    <w:rsid w:val="00CC7494"/>
    <w:rsid w:val="00CF0588"/>
    <w:rsid w:val="00D33CAB"/>
    <w:rsid w:val="00D462D8"/>
    <w:rsid w:val="00D510E8"/>
    <w:rsid w:val="00D770B6"/>
    <w:rsid w:val="00D84286"/>
    <w:rsid w:val="00D84DAD"/>
    <w:rsid w:val="00D90D63"/>
    <w:rsid w:val="00D9311F"/>
    <w:rsid w:val="00DA7319"/>
    <w:rsid w:val="00DB1937"/>
    <w:rsid w:val="00DC7F83"/>
    <w:rsid w:val="00DD1D90"/>
    <w:rsid w:val="00DD586F"/>
    <w:rsid w:val="00DE572C"/>
    <w:rsid w:val="00DE6313"/>
    <w:rsid w:val="00E535D9"/>
    <w:rsid w:val="00E53726"/>
    <w:rsid w:val="00E572F3"/>
    <w:rsid w:val="00E75161"/>
    <w:rsid w:val="00E97287"/>
    <w:rsid w:val="00EE1DE7"/>
    <w:rsid w:val="00F45B64"/>
    <w:rsid w:val="00F5390C"/>
    <w:rsid w:val="00F55B8E"/>
    <w:rsid w:val="00FD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764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306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5F630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Нормальний текст"/>
    <w:basedOn w:val="a"/>
    <w:uiPriority w:val="99"/>
    <w:rsid w:val="005F6306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uk-UA"/>
    </w:rPr>
  </w:style>
  <w:style w:type="paragraph" w:styleId="a5">
    <w:name w:val="header"/>
    <w:basedOn w:val="a"/>
    <w:link w:val="a6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630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6306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F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630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Основной текст1"/>
    <w:basedOn w:val="a0"/>
    <w:rsid w:val="005F63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table" w:styleId="ab">
    <w:name w:val="Table Grid"/>
    <w:basedOn w:val="a1"/>
    <w:uiPriority w:val="39"/>
    <w:rsid w:val="009A3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89722C"/>
    <w:pPr>
      <w:ind w:left="720"/>
      <w:contextualSpacing/>
    </w:pPr>
  </w:style>
  <w:style w:type="character" w:styleId="ad">
    <w:name w:val="Placeholder Text"/>
    <w:basedOn w:val="a0"/>
    <w:uiPriority w:val="99"/>
    <w:semiHidden/>
    <w:rsid w:val="00E24557"/>
    <w:rPr>
      <w:color w:val="808080"/>
    </w:rPr>
  </w:style>
  <w:style w:type="paragraph" w:styleId="ae">
    <w:name w:val="endnote text"/>
    <w:basedOn w:val="a"/>
    <w:link w:val="af"/>
    <w:uiPriority w:val="99"/>
    <w:semiHidden/>
    <w:unhideWhenUsed/>
    <w:rsid w:val="00D365FE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D365FE"/>
    <w:rPr>
      <w:rFonts w:eastAsiaTheme="minorEastAsia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D365FE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8A5E1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A5E1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8A5E1B"/>
    <w:rPr>
      <w:rFonts w:eastAsiaTheme="minorEastAsia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A5E1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A5E1B"/>
    <w:rPr>
      <w:rFonts w:eastAsiaTheme="minorEastAsia"/>
      <w:b/>
      <w:bCs/>
      <w:sz w:val="20"/>
      <w:szCs w:val="20"/>
      <w:lang w:eastAsia="ru-RU"/>
    </w:rPr>
  </w:style>
  <w:style w:type="paragraph" w:styleId="af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a1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rvps2">
    <w:name w:val="rvps2"/>
    <w:basedOn w:val="a"/>
    <w:rsid w:val="009C1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f9">
    <w:name w:val="Hyperlink"/>
    <w:basedOn w:val="a0"/>
    <w:uiPriority w:val="99"/>
    <w:semiHidden/>
    <w:unhideWhenUsed/>
    <w:rsid w:val="009C1C66"/>
    <w:rPr>
      <w:color w:val="0000FF"/>
      <w:u w:val="single"/>
    </w:rPr>
  </w:style>
  <w:style w:type="character" w:customStyle="1" w:styleId="rvts48">
    <w:name w:val="rvts48"/>
    <w:basedOn w:val="a0"/>
    <w:rsid w:val="005B69E9"/>
  </w:style>
  <w:style w:type="character" w:customStyle="1" w:styleId="rvts37">
    <w:name w:val="rvts37"/>
    <w:basedOn w:val="a0"/>
    <w:rsid w:val="005B69E9"/>
  </w:style>
  <w:style w:type="character" w:customStyle="1" w:styleId="rvts82">
    <w:name w:val="rvts82"/>
    <w:basedOn w:val="a0"/>
    <w:rsid w:val="005B69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306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5F630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Нормальний текст"/>
    <w:basedOn w:val="a"/>
    <w:uiPriority w:val="99"/>
    <w:rsid w:val="005F6306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uk-UA"/>
    </w:rPr>
  </w:style>
  <w:style w:type="paragraph" w:styleId="a5">
    <w:name w:val="header"/>
    <w:basedOn w:val="a"/>
    <w:link w:val="a6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630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6306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F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630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Основной текст1"/>
    <w:basedOn w:val="a0"/>
    <w:rsid w:val="005F63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table" w:styleId="ab">
    <w:name w:val="Table Grid"/>
    <w:basedOn w:val="a1"/>
    <w:uiPriority w:val="39"/>
    <w:rsid w:val="009A3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89722C"/>
    <w:pPr>
      <w:ind w:left="720"/>
      <w:contextualSpacing/>
    </w:pPr>
  </w:style>
  <w:style w:type="character" w:styleId="ad">
    <w:name w:val="Placeholder Text"/>
    <w:basedOn w:val="a0"/>
    <w:uiPriority w:val="99"/>
    <w:semiHidden/>
    <w:rsid w:val="00E24557"/>
    <w:rPr>
      <w:color w:val="808080"/>
    </w:rPr>
  </w:style>
  <w:style w:type="paragraph" w:styleId="ae">
    <w:name w:val="endnote text"/>
    <w:basedOn w:val="a"/>
    <w:link w:val="af"/>
    <w:uiPriority w:val="99"/>
    <w:semiHidden/>
    <w:unhideWhenUsed/>
    <w:rsid w:val="00D365FE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D365FE"/>
    <w:rPr>
      <w:rFonts w:eastAsiaTheme="minorEastAsia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D365FE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8A5E1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A5E1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8A5E1B"/>
    <w:rPr>
      <w:rFonts w:eastAsiaTheme="minorEastAsia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A5E1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A5E1B"/>
    <w:rPr>
      <w:rFonts w:eastAsiaTheme="minorEastAsia"/>
      <w:b/>
      <w:bCs/>
      <w:sz w:val="20"/>
      <w:szCs w:val="20"/>
      <w:lang w:eastAsia="ru-RU"/>
    </w:rPr>
  </w:style>
  <w:style w:type="paragraph" w:styleId="af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a1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rvps2">
    <w:name w:val="rvps2"/>
    <w:basedOn w:val="a"/>
    <w:rsid w:val="009C1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f9">
    <w:name w:val="Hyperlink"/>
    <w:basedOn w:val="a0"/>
    <w:uiPriority w:val="99"/>
    <w:semiHidden/>
    <w:unhideWhenUsed/>
    <w:rsid w:val="009C1C66"/>
    <w:rPr>
      <w:color w:val="0000FF"/>
      <w:u w:val="single"/>
    </w:rPr>
  </w:style>
  <w:style w:type="character" w:customStyle="1" w:styleId="rvts48">
    <w:name w:val="rvts48"/>
    <w:basedOn w:val="a0"/>
    <w:rsid w:val="005B69E9"/>
  </w:style>
  <w:style w:type="character" w:customStyle="1" w:styleId="rvts37">
    <w:name w:val="rvts37"/>
    <w:basedOn w:val="a0"/>
    <w:rsid w:val="005B69E9"/>
  </w:style>
  <w:style w:type="character" w:customStyle="1" w:styleId="rvts82">
    <w:name w:val="rvts82"/>
    <w:basedOn w:val="a0"/>
    <w:rsid w:val="005B6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6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n2czHMHpE5njAyvHolKQ3eq1Lw==">AMUW2mU10Ru/9qwQfEwoCUZ1P/Qqn90FR9YyxcYqjTETreVQzI7AOk3qvJSO3itoXSeIhG6NqrLX4HyAUdTQdAEo4vZ1q0aTKzMfcNq2V9rNKZ5a7sdD8KJ9rR2uprBiqQUgAeZqZLL89fXhEDem5Z45bCLSBLTGop7PJ2bIXhldnAnOUFIMZYU=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3</Pages>
  <Words>3363</Words>
  <Characters>1917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Столяр Ольга</cp:lastModifiedBy>
  <cp:revision>55</cp:revision>
  <cp:lastPrinted>2023-10-30T09:19:00Z</cp:lastPrinted>
  <dcterms:created xsi:type="dcterms:W3CDTF">2019-11-29T10:10:00Z</dcterms:created>
  <dcterms:modified xsi:type="dcterms:W3CDTF">2023-11-20T08:50:00Z</dcterms:modified>
</cp:coreProperties>
</file>