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19BB" w14:textId="77777777" w:rsidR="00515D2D" w:rsidRPr="00CA552A" w:rsidRDefault="00515D2D" w:rsidP="00FD06E6">
      <w:pPr>
        <w:jc w:val="center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ПОЯСНЮВАЛЬНА ЗАПИСКА</w:t>
      </w:r>
    </w:p>
    <w:p w14:paraId="1314457A" w14:textId="3DFAD0FA" w:rsidR="006D09B8" w:rsidRPr="00CA552A" w:rsidRDefault="0014517E" w:rsidP="00FD06E6">
      <w:pPr>
        <w:contextualSpacing/>
        <w:jc w:val="center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до про</w:t>
      </w:r>
      <w:r w:rsidR="00C55CF8" w:rsidRPr="00CA552A">
        <w:rPr>
          <w:b/>
          <w:sz w:val="28"/>
          <w:szCs w:val="28"/>
        </w:rPr>
        <w:t>е</w:t>
      </w:r>
      <w:r w:rsidR="00515D2D" w:rsidRPr="00CA552A">
        <w:rPr>
          <w:b/>
          <w:sz w:val="28"/>
          <w:szCs w:val="28"/>
        </w:rPr>
        <w:t>кту</w:t>
      </w:r>
      <w:r w:rsidR="006D09B8" w:rsidRPr="00CA552A">
        <w:rPr>
          <w:b/>
          <w:sz w:val="28"/>
          <w:szCs w:val="28"/>
        </w:rPr>
        <w:t xml:space="preserve"> постанови Кабінету Міністрів України </w:t>
      </w:r>
    </w:p>
    <w:p w14:paraId="6DA8C4F0" w14:textId="0CBB6633" w:rsidR="006D09B8" w:rsidRPr="00CA552A" w:rsidRDefault="006D09B8" w:rsidP="00FD06E6">
      <w:pPr>
        <w:contextualSpacing/>
        <w:jc w:val="center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«</w:t>
      </w:r>
      <w:r w:rsidR="0001441D" w:rsidRPr="0001441D">
        <w:rPr>
          <w:b/>
          <w:sz w:val="28"/>
          <w:szCs w:val="28"/>
        </w:rPr>
        <w:t xml:space="preserve">Деякі питання застосування Технічного регламенту щодо вимог до </w:t>
      </w:r>
      <w:proofErr w:type="spellStart"/>
      <w:r w:rsidR="0001441D" w:rsidRPr="0001441D">
        <w:rPr>
          <w:b/>
          <w:sz w:val="28"/>
          <w:szCs w:val="28"/>
        </w:rPr>
        <w:t>екодизайну</w:t>
      </w:r>
      <w:proofErr w:type="spellEnd"/>
      <w:r w:rsidR="0001441D" w:rsidRPr="0001441D">
        <w:rPr>
          <w:b/>
          <w:sz w:val="28"/>
          <w:szCs w:val="28"/>
        </w:rPr>
        <w:t xml:space="preserve"> для малих, середніх та великих силових трансформаторів у період дії воєнного стану в Україні</w:t>
      </w:r>
      <w:r w:rsidRPr="00CA552A">
        <w:rPr>
          <w:b/>
          <w:sz w:val="28"/>
          <w:szCs w:val="28"/>
        </w:rPr>
        <w:t>»</w:t>
      </w:r>
    </w:p>
    <w:p w14:paraId="02140D37" w14:textId="77777777" w:rsidR="008D1331" w:rsidRPr="00CA552A" w:rsidRDefault="008D1331" w:rsidP="006E3687">
      <w:pPr>
        <w:ind w:firstLine="567"/>
        <w:contextualSpacing/>
        <w:jc w:val="both"/>
        <w:rPr>
          <w:b/>
          <w:sz w:val="28"/>
          <w:szCs w:val="28"/>
        </w:rPr>
      </w:pPr>
    </w:p>
    <w:p w14:paraId="4C1D6C2F" w14:textId="7A9DC6F4" w:rsidR="0062655D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Мета</w:t>
      </w:r>
    </w:p>
    <w:p w14:paraId="7248373F" w14:textId="69C4CA6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Метою розроблення та прийняття проекту постанови Кабінету Міністрів України «</w:t>
      </w:r>
      <w:r w:rsidR="007A1142" w:rsidRPr="007A1142">
        <w:rPr>
          <w:sz w:val="28"/>
          <w:szCs w:val="28"/>
        </w:rPr>
        <w:t xml:space="preserve">Деякі питання застосування Технічного регламенту щодо вимог до </w:t>
      </w:r>
      <w:proofErr w:type="spellStart"/>
      <w:r w:rsidR="007A1142" w:rsidRPr="007A1142">
        <w:rPr>
          <w:sz w:val="28"/>
          <w:szCs w:val="28"/>
        </w:rPr>
        <w:t>екодизайну</w:t>
      </w:r>
      <w:proofErr w:type="spellEnd"/>
      <w:r w:rsidR="007A1142" w:rsidRPr="007A1142">
        <w:rPr>
          <w:sz w:val="28"/>
          <w:szCs w:val="28"/>
        </w:rPr>
        <w:t xml:space="preserve"> для малих, середніх та великих силових трансформаторів у період дії воєнного стану в Україні</w:t>
      </w:r>
      <w:r w:rsidRPr="00CA552A">
        <w:rPr>
          <w:sz w:val="28"/>
          <w:szCs w:val="28"/>
        </w:rPr>
        <w:t xml:space="preserve">» (далі </w:t>
      </w:r>
      <w:r w:rsidRPr="00CA552A">
        <w:rPr>
          <w:color w:val="000000"/>
          <w:sz w:val="28"/>
          <w:szCs w:val="28"/>
        </w:rPr>
        <w:t>–</w:t>
      </w:r>
      <w:r w:rsidRPr="00CA552A">
        <w:rPr>
          <w:sz w:val="28"/>
          <w:szCs w:val="28"/>
        </w:rPr>
        <w:t xml:space="preserve"> проект </w:t>
      </w:r>
      <w:proofErr w:type="spellStart"/>
      <w:r w:rsidR="00D5448D" w:rsidRPr="00CA552A">
        <w:rPr>
          <w:sz w:val="28"/>
          <w:szCs w:val="28"/>
        </w:rPr>
        <w:t>акта</w:t>
      </w:r>
      <w:proofErr w:type="spellEnd"/>
      <w:r w:rsidRPr="00CA552A">
        <w:rPr>
          <w:sz w:val="28"/>
          <w:szCs w:val="28"/>
        </w:rPr>
        <w:t xml:space="preserve">) є </w:t>
      </w:r>
      <w:r w:rsidR="00A6694C" w:rsidRPr="00CA552A">
        <w:rPr>
          <w:sz w:val="28"/>
          <w:szCs w:val="28"/>
        </w:rPr>
        <w:t xml:space="preserve">визначення </w:t>
      </w:r>
      <w:r w:rsidR="007A1142">
        <w:rPr>
          <w:sz w:val="28"/>
          <w:szCs w:val="28"/>
        </w:rPr>
        <w:t>деяких питань</w:t>
      </w:r>
      <w:r w:rsidR="00EC2A1D" w:rsidRPr="00CA552A">
        <w:rPr>
          <w:sz w:val="28"/>
          <w:szCs w:val="28"/>
        </w:rPr>
        <w:t xml:space="preserve"> застосування Технічного регламенту щодо вимог до </w:t>
      </w:r>
      <w:proofErr w:type="spellStart"/>
      <w:r w:rsidR="00EC2A1D" w:rsidRPr="00CA552A">
        <w:rPr>
          <w:sz w:val="28"/>
          <w:szCs w:val="28"/>
        </w:rPr>
        <w:t>екодизайну</w:t>
      </w:r>
      <w:proofErr w:type="spellEnd"/>
      <w:r w:rsidR="00EC2A1D" w:rsidRPr="00CA552A">
        <w:rPr>
          <w:sz w:val="28"/>
          <w:szCs w:val="28"/>
        </w:rPr>
        <w:t xml:space="preserve"> для малих, середніх та великих силових трансформаторів</w:t>
      </w:r>
      <w:r w:rsidR="006D7846" w:rsidRPr="00CA552A">
        <w:rPr>
          <w:sz w:val="28"/>
          <w:szCs w:val="28"/>
        </w:rPr>
        <w:t>,</w:t>
      </w:r>
      <w:r w:rsidR="00EC2A1D" w:rsidRPr="00CA552A">
        <w:rPr>
          <w:sz w:val="28"/>
          <w:szCs w:val="28"/>
        </w:rPr>
        <w:t xml:space="preserve"> </w:t>
      </w:r>
      <w:r w:rsidR="006D7846" w:rsidRPr="00CA552A">
        <w:rPr>
          <w:sz w:val="28"/>
          <w:szCs w:val="28"/>
        </w:rPr>
        <w:t xml:space="preserve">затвердженого постановою Кабінету Міністрів України від 27.02.2019 № 152 (далі – Технічний регламент) </w:t>
      </w:r>
      <w:r w:rsidR="00EC2A1D" w:rsidRPr="00CA552A">
        <w:rPr>
          <w:sz w:val="28"/>
          <w:szCs w:val="28"/>
        </w:rPr>
        <w:t xml:space="preserve">у </w:t>
      </w:r>
      <w:r w:rsidR="007A1142" w:rsidRPr="007A1142">
        <w:rPr>
          <w:sz w:val="28"/>
          <w:szCs w:val="28"/>
        </w:rPr>
        <w:t>період дії воєнного стану в Україні</w:t>
      </w:r>
      <w:r w:rsidR="00560391" w:rsidRPr="00CA552A">
        <w:rPr>
          <w:sz w:val="28"/>
          <w:szCs w:val="28"/>
        </w:rPr>
        <w:t>.</w:t>
      </w:r>
    </w:p>
    <w:p w14:paraId="4F473CB3" w14:textId="77777777" w:rsidR="00875EC4" w:rsidRPr="00CA552A" w:rsidRDefault="00875EC4" w:rsidP="006E3687">
      <w:pPr>
        <w:ind w:firstLine="567"/>
        <w:jc w:val="both"/>
        <w:rPr>
          <w:sz w:val="28"/>
          <w:szCs w:val="28"/>
        </w:rPr>
      </w:pPr>
    </w:p>
    <w:p w14:paraId="391740CB" w14:textId="11E66898" w:rsidR="0062655D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2. </w:t>
      </w:r>
      <w:r w:rsidR="000B795B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</w:t>
      </w:r>
      <w:r w:rsidR="003B1AEE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необхідності прийняття </w:t>
      </w:r>
      <w:proofErr w:type="spellStart"/>
      <w:r w:rsidR="003B1AEE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14:paraId="1E34040A" w14:textId="7D86C81A" w:rsidR="00560391" w:rsidRPr="00CA552A" w:rsidRDefault="00D7588D" w:rsidP="006E3687">
      <w:pPr>
        <w:ind w:firstLine="567"/>
        <w:contextualSpacing/>
        <w:jc w:val="both"/>
        <w:rPr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На сьогоднішній день в Україні </w:t>
      </w:r>
      <w:r w:rsidR="00207223" w:rsidRPr="00CA552A">
        <w:rPr>
          <w:color w:val="000000"/>
          <w:sz w:val="28"/>
          <w:szCs w:val="28"/>
        </w:rPr>
        <w:t>діє Технічний регламент</w:t>
      </w:r>
      <w:r w:rsidR="00AC302B" w:rsidRPr="00CA552A">
        <w:rPr>
          <w:sz w:val="28"/>
          <w:szCs w:val="28"/>
        </w:rPr>
        <w:t xml:space="preserve">, яким встановлюються вимоги до </w:t>
      </w:r>
      <w:proofErr w:type="spellStart"/>
      <w:r w:rsidR="00AC302B" w:rsidRPr="00CA552A">
        <w:rPr>
          <w:sz w:val="28"/>
          <w:szCs w:val="28"/>
        </w:rPr>
        <w:t>екодизайну</w:t>
      </w:r>
      <w:proofErr w:type="spellEnd"/>
      <w:r w:rsidR="00AC302B" w:rsidRPr="00CA552A">
        <w:rPr>
          <w:sz w:val="28"/>
          <w:szCs w:val="28"/>
        </w:rPr>
        <w:t xml:space="preserve"> </w:t>
      </w:r>
      <w:r w:rsidR="00A009CC" w:rsidRPr="00CA552A">
        <w:rPr>
          <w:sz w:val="28"/>
          <w:szCs w:val="28"/>
        </w:rPr>
        <w:t>для малих, середніх та великих силових трансформаторів</w:t>
      </w:r>
      <w:r w:rsidR="00AC302B" w:rsidRPr="00CA552A">
        <w:rPr>
          <w:sz w:val="28"/>
          <w:szCs w:val="28"/>
        </w:rPr>
        <w:t xml:space="preserve">. Строк набрання чинності вимог </w:t>
      </w:r>
      <w:r w:rsidR="00F71028" w:rsidRPr="00CA552A">
        <w:rPr>
          <w:sz w:val="28"/>
          <w:szCs w:val="28"/>
        </w:rPr>
        <w:t xml:space="preserve">до </w:t>
      </w:r>
      <w:proofErr w:type="spellStart"/>
      <w:r w:rsidR="00F71028" w:rsidRPr="00CA552A">
        <w:rPr>
          <w:sz w:val="28"/>
          <w:szCs w:val="28"/>
        </w:rPr>
        <w:t>екодизайну</w:t>
      </w:r>
      <w:proofErr w:type="spellEnd"/>
      <w:r w:rsidR="00F71028" w:rsidRPr="00CA552A">
        <w:rPr>
          <w:sz w:val="28"/>
          <w:szCs w:val="28"/>
        </w:rPr>
        <w:t xml:space="preserve"> </w:t>
      </w:r>
      <w:r w:rsidR="00AC302B" w:rsidRPr="00CA552A">
        <w:rPr>
          <w:sz w:val="28"/>
          <w:szCs w:val="28"/>
        </w:rPr>
        <w:t xml:space="preserve">рівня 2 </w:t>
      </w:r>
      <w:r w:rsidR="00AC302B" w:rsidRPr="00CA552A">
        <w:rPr>
          <w:color w:val="000000"/>
          <w:sz w:val="28"/>
          <w:szCs w:val="28"/>
        </w:rPr>
        <w:t>–</w:t>
      </w:r>
      <w:r w:rsidR="00AC302B" w:rsidRPr="00CA552A">
        <w:rPr>
          <w:sz w:val="28"/>
          <w:szCs w:val="28"/>
        </w:rPr>
        <w:t xml:space="preserve"> через чотири роки з моменту набрання чинності цим Технічним </w:t>
      </w:r>
      <w:r w:rsidR="00390506" w:rsidRPr="00CA552A">
        <w:rPr>
          <w:sz w:val="28"/>
          <w:szCs w:val="28"/>
        </w:rPr>
        <w:t>регламентом, а саме 13.09.2023.</w:t>
      </w:r>
    </w:p>
    <w:p w14:paraId="46B05B0D" w14:textId="4FF167B3" w:rsidR="00560391" w:rsidRPr="00CA552A" w:rsidRDefault="00560391" w:rsidP="006E3687">
      <w:pPr>
        <w:ind w:firstLine="567"/>
        <w:contextualSpacing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На виконання Протоколу наради від 15</w:t>
      </w:r>
      <w:r w:rsidR="00C6445B">
        <w:rPr>
          <w:sz w:val="28"/>
          <w:szCs w:val="28"/>
        </w:rPr>
        <w:t>.09.</w:t>
      </w:r>
      <w:r w:rsidRPr="00CA552A">
        <w:rPr>
          <w:sz w:val="28"/>
          <w:szCs w:val="28"/>
        </w:rPr>
        <w:t xml:space="preserve">2023 під головуванням Прем’єр-міністра України </w:t>
      </w:r>
      <w:proofErr w:type="spellStart"/>
      <w:r w:rsidRPr="00CA552A">
        <w:rPr>
          <w:sz w:val="28"/>
          <w:szCs w:val="28"/>
        </w:rPr>
        <w:t>Шмигаля</w:t>
      </w:r>
      <w:proofErr w:type="spellEnd"/>
      <w:r w:rsidRPr="00CA552A">
        <w:rPr>
          <w:sz w:val="28"/>
          <w:szCs w:val="28"/>
        </w:rPr>
        <w:t xml:space="preserve"> Д.А. щодо забезпечення силовими трансформаторами підприємств енергетичного комплексу України, надісланого листом Секретаріату Кабінету Міністрів України від 17.03.2023</w:t>
      </w:r>
      <w:r w:rsidR="00C6445B">
        <w:rPr>
          <w:sz w:val="28"/>
          <w:szCs w:val="28"/>
        </w:rPr>
        <w:t xml:space="preserve"> </w:t>
      </w:r>
      <w:r w:rsidRPr="00CA552A">
        <w:rPr>
          <w:sz w:val="28"/>
          <w:szCs w:val="28"/>
        </w:rPr>
        <w:t xml:space="preserve">№ 7990/0/1-23 щодо доцільності перенесення строку набрання чинності вимог </w:t>
      </w:r>
      <w:r w:rsidR="001A613E" w:rsidRPr="00CA552A">
        <w:rPr>
          <w:sz w:val="28"/>
          <w:szCs w:val="28"/>
        </w:rPr>
        <w:t xml:space="preserve">до </w:t>
      </w:r>
      <w:proofErr w:type="spellStart"/>
      <w:r w:rsidR="001A613E" w:rsidRPr="00CA552A">
        <w:rPr>
          <w:sz w:val="28"/>
          <w:szCs w:val="28"/>
        </w:rPr>
        <w:t>екодизайну</w:t>
      </w:r>
      <w:proofErr w:type="spellEnd"/>
      <w:r w:rsidR="001A613E" w:rsidRPr="00CA552A">
        <w:rPr>
          <w:sz w:val="28"/>
          <w:szCs w:val="28"/>
        </w:rPr>
        <w:t xml:space="preserve"> </w:t>
      </w:r>
      <w:r w:rsidRPr="00CA552A">
        <w:rPr>
          <w:sz w:val="28"/>
          <w:szCs w:val="28"/>
        </w:rPr>
        <w:t xml:space="preserve">рівня 2 </w:t>
      </w:r>
      <w:r w:rsidR="001D1C0D" w:rsidRPr="00CA552A">
        <w:rPr>
          <w:sz w:val="28"/>
          <w:szCs w:val="28"/>
        </w:rPr>
        <w:t>Технічного регламенту</w:t>
      </w:r>
      <w:r w:rsidRPr="00CA552A">
        <w:rPr>
          <w:sz w:val="28"/>
          <w:szCs w:val="28"/>
        </w:rPr>
        <w:t xml:space="preserve">, а також </w:t>
      </w:r>
      <w:r w:rsidRPr="00C1593F">
        <w:rPr>
          <w:sz w:val="28"/>
          <w:szCs w:val="28"/>
        </w:rPr>
        <w:t xml:space="preserve">зважаючи на неодноразові звернення виробників трансформаторів, щодо збільшення часу на переустаткування виробництва, розроблено проект </w:t>
      </w:r>
      <w:proofErr w:type="spellStart"/>
      <w:r w:rsidR="00D5448D" w:rsidRPr="00C1593F">
        <w:rPr>
          <w:sz w:val="28"/>
          <w:szCs w:val="28"/>
        </w:rPr>
        <w:t>акта</w:t>
      </w:r>
      <w:proofErr w:type="spellEnd"/>
      <w:r w:rsidRPr="00C1593F">
        <w:rPr>
          <w:sz w:val="28"/>
          <w:szCs w:val="28"/>
        </w:rPr>
        <w:t xml:space="preserve"> з метою визначення </w:t>
      </w:r>
      <w:r w:rsidR="00C1593F" w:rsidRPr="00C1593F">
        <w:rPr>
          <w:sz w:val="28"/>
          <w:szCs w:val="28"/>
        </w:rPr>
        <w:t>деяких питань</w:t>
      </w:r>
      <w:r w:rsidRPr="00C1593F">
        <w:rPr>
          <w:sz w:val="28"/>
          <w:szCs w:val="28"/>
        </w:rPr>
        <w:t xml:space="preserve"> застосування </w:t>
      </w:r>
      <w:r w:rsidR="001A613E" w:rsidRPr="00C1593F">
        <w:rPr>
          <w:sz w:val="28"/>
          <w:szCs w:val="28"/>
        </w:rPr>
        <w:t xml:space="preserve">вимог до </w:t>
      </w:r>
      <w:proofErr w:type="spellStart"/>
      <w:r w:rsidR="001A613E" w:rsidRPr="00C1593F">
        <w:rPr>
          <w:sz w:val="28"/>
          <w:szCs w:val="28"/>
        </w:rPr>
        <w:t>екодизайну</w:t>
      </w:r>
      <w:proofErr w:type="spellEnd"/>
      <w:r w:rsidR="001A613E" w:rsidRPr="00C1593F">
        <w:rPr>
          <w:sz w:val="28"/>
          <w:szCs w:val="28"/>
        </w:rPr>
        <w:t xml:space="preserve"> </w:t>
      </w:r>
      <w:r w:rsidRPr="00C1593F">
        <w:rPr>
          <w:sz w:val="28"/>
          <w:szCs w:val="28"/>
        </w:rPr>
        <w:t xml:space="preserve">рівню 2 Технічного регламенту </w:t>
      </w:r>
      <w:r w:rsidR="00C1593F" w:rsidRPr="00C1593F">
        <w:rPr>
          <w:sz w:val="28"/>
          <w:szCs w:val="28"/>
        </w:rPr>
        <w:t>у</w:t>
      </w:r>
      <w:r w:rsidRPr="00C1593F">
        <w:rPr>
          <w:sz w:val="28"/>
          <w:szCs w:val="28"/>
        </w:rPr>
        <w:t xml:space="preserve"> період дії воєнного стану в Україні.</w:t>
      </w:r>
    </w:p>
    <w:p w14:paraId="7AF082AE" w14:textId="77777777" w:rsidR="00875EC4" w:rsidRPr="00CA552A" w:rsidRDefault="00875EC4" w:rsidP="006E3687">
      <w:pPr>
        <w:ind w:firstLine="567"/>
        <w:contextualSpacing/>
        <w:jc w:val="both"/>
        <w:rPr>
          <w:sz w:val="28"/>
          <w:szCs w:val="28"/>
        </w:rPr>
      </w:pPr>
    </w:p>
    <w:p w14:paraId="1BA3E532" w14:textId="5A0610B0" w:rsidR="0015799E" w:rsidRPr="00CA552A" w:rsidRDefault="00875EC4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Основні положення про</w:t>
      </w:r>
      <w:r w:rsidR="00A17A45" w:rsidRPr="00CA552A">
        <w:rPr>
          <w:rFonts w:ascii="Times New Roman" w:hAnsi="Times New Roman"/>
          <w:b/>
          <w:sz w:val="28"/>
          <w:szCs w:val="28"/>
          <w:lang w:val="uk-UA"/>
        </w:rPr>
        <w:t>е</w:t>
      </w:r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 xml:space="preserve">кту </w:t>
      </w:r>
      <w:proofErr w:type="spellStart"/>
      <w:r w:rsidR="003B1AEE" w:rsidRPr="00CA552A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</w:p>
    <w:p w14:paraId="1D9AF4A1" w14:textId="786159D4" w:rsidR="002C5782" w:rsidRDefault="0015799E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 xml:space="preserve">Проектом </w:t>
      </w:r>
      <w:proofErr w:type="spellStart"/>
      <w:r w:rsidRPr="00CA552A">
        <w:rPr>
          <w:sz w:val="28"/>
          <w:szCs w:val="28"/>
        </w:rPr>
        <w:t>акта</w:t>
      </w:r>
      <w:proofErr w:type="spellEnd"/>
      <w:r w:rsidRPr="00CA552A">
        <w:rPr>
          <w:sz w:val="28"/>
          <w:szCs w:val="28"/>
        </w:rPr>
        <w:t xml:space="preserve"> передбачається, що</w:t>
      </w:r>
      <w:r w:rsidR="004B62BF">
        <w:rPr>
          <w:sz w:val="28"/>
          <w:szCs w:val="28"/>
        </w:rPr>
        <w:t xml:space="preserve"> </w:t>
      </w:r>
      <w:r w:rsidR="00C1593F" w:rsidRPr="00C1593F">
        <w:rPr>
          <w:sz w:val="28"/>
          <w:szCs w:val="28"/>
        </w:rPr>
        <w:t xml:space="preserve">на період дії воєнного стану в Україні та протягом одного року з дня його припинення або скасування, але </w:t>
      </w:r>
      <w:r w:rsidR="00C6445B">
        <w:rPr>
          <w:sz w:val="28"/>
          <w:szCs w:val="28"/>
        </w:rPr>
        <w:t xml:space="preserve">                              </w:t>
      </w:r>
      <w:r w:rsidR="00C1593F" w:rsidRPr="00C1593F">
        <w:rPr>
          <w:sz w:val="28"/>
          <w:szCs w:val="28"/>
        </w:rPr>
        <w:t xml:space="preserve">у будь-якому разі не довше ніж до 1 січня 2025 року, рівень 2 вимог до </w:t>
      </w:r>
      <w:proofErr w:type="spellStart"/>
      <w:r w:rsidR="00C1593F" w:rsidRPr="00C1593F">
        <w:rPr>
          <w:sz w:val="28"/>
          <w:szCs w:val="28"/>
        </w:rPr>
        <w:t>екодизайну</w:t>
      </w:r>
      <w:proofErr w:type="spellEnd"/>
      <w:r w:rsidR="00C1593F" w:rsidRPr="00C1593F">
        <w:rPr>
          <w:sz w:val="28"/>
          <w:szCs w:val="28"/>
        </w:rPr>
        <w:t xml:space="preserve"> трансформаторів, встановлений у додатку 1 до Технічного регламенту</w:t>
      </w:r>
      <w:r w:rsidRPr="00CA552A">
        <w:rPr>
          <w:sz w:val="28"/>
          <w:szCs w:val="28"/>
        </w:rPr>
        <w:t>, не поширю</w:t>
      </w:r>
      <w:r w:rsidR="00B00A6A" w:rsidRPr="00CA552A">
        <w:rPr>
          <w:sz w:val="28"/>
          <w:szCs w:val="28"/>
        </w:rPr>
        <w:t>ватиметься</w:t>
      </w:r>
      <w:r w:rsidRPr="00CA552A">
        <w:rPr>
          <w:sz w:val="28"/>
          <w:szCs w:val="28"/>
        </w:rPr>
        <w:t xml:space="preserve"> </w:t>
      </w:r>
      <w:r w:rsidR="002C5782">
        <w:rPr>
          <w:sz w:val="28"/>
          <w:szCs w:val="28"/>
        </w:rPr>
        <w:t xml:space="preserve">на </w:t>
      </w:r>
      <w:r w:rsidR="00C1593F" w:rsidRPr="00C1593F">
        <w:rPr>
          <w:sz w:val="28"/>
          <w:szCs w:val="28"/>
        </w:rPr>
        <w:t>силові трансформатори з номінальною п</w:t>
      </w:r>
      <w:r w:rsidR="002C5782">
        <w:rPr>
          <w:sz w:val="28"/>
          <w:szCs w:val="28"/>
        </w:rPr>
        <w:t xml:space="preserve">отужністю не більше ніж 125 МВА та на </w:t>
      </w:r>
      <w:r w:rsidR="00C1593F" w:rsidRPr="00C1593F">
        <w:rPr>
          <w:sz w:val="28"/>
          <w:szCs w:val="28"/>
        </w:rPr>
        <w:t>силові трансформатори, щодо яких до 13</w:t>
      </w:r>
      <w:r w:rsidR="00991C0D">
        <w:rPr>
          <w:sz w:val="28"/>
          <w:szCs w:val="28"/>
        </w:rPr>
        <w:t>.09.</w:t>
      </w:r>
      <w:r w:rsidR="00C1593F" w:rsidRPr="00C1593F">
        <w:rPr>
          <w:sz w:val="28"/>
          <w:szCs w:val="28"/>
        </w:rPr>
        <w:t xml:space="preserve"> 2019 року було укладено договори (контракти) на виробництво та/або поставку, в разі якщо умовами таких договорів визначено кількість силових трансформаторів, що має бути вироблена та/або поставлена.</w:t>
      </w:r>
    </w:p>
    <w:p w14:paraId="36346CEC" w14:textId="68E768CE" w:rsidR="000836D1" w:rsidRDefault="00E27857" w:rsidP="006E3687">
      <w:pPr>
        <w:ind w:firstLine="567"/>
        <w:jc w:val="both"/>
        <w:rPr>
          <w:sz w:val="28"/>
          <w:szCs w:val="28"/>
        </w:rPr>
      </w:pPr>
      <w:r w:rsidRPr="00A06601">
        <w:rPr>
          <w:sz w:val="28"/>
          <w:szCs w:val="28"/>
        </w:rPr>
        <w:lastRenderedPageBreak/>
        <w:t>Крім того</w:t>
      </w:r>
      <w:r w:rsidR="00CF0201" w:rsidRPr="00A06601">
        <w:rPr>
          <w:sz w:val="28"/>
          <w:szCs w:val="28"/>
        </w:rPr>
        <w:t xml:space="preserve"> </w:t>
      </w:r>
      <w:r w:rsidRPr="00A06601">
        <w:rPr>
          <w:sz w:val="28"/>
          <w:szCs w:val="28"/>
        </w:rPr>
        <w:t xml:space="preserve">передбачається, </w:t>
      </w:r>
      <w:r w:rsidR="00CF0201" w:rsidRPr="00A06601">
        <w:rPr>
          <w:sz w:val="28"/>
          <w:szCs w:val="28"/>
        </w:rPr>
        <w:t xml:space="preserve">що </w:t>
      </w:r>
      <w:r w:rsidR="000836D1" w:rsidRPr="00A06601">
        <w:rPr>
          <w:sz w:val="28"/>
          <w:szCs w:val="28"/>
        </w:rPr>
        <w:t xml:space="preserve">силові трансформатори, які відповідають вимогам, визначеним абзацами другим та третім пункту 1 цієї постанови та які вводяться або були введені в експлуатацію у період дії воєнного стану в Україні та протягом одного року з дня його припинення або скасування, але у будь-якому разі не пізніше </w:t>
      </w:r>
      <w:r w:rsidR="00991C0D">
        <w:rPr>
          <w:sz w:val="28"/>
          <w:szCs w:val="28"/>
        </w:rPr>
        <w:t>0</w:t>
      </w:r>
      <w:r w:rsidR="000836D1" w:rsidRPr="00A06601">
        <w:rPr>
          <w:sz w:val="28"/>
          <w:szCs w:val="28"/>
        </w:rPr>
        <w:t>1</w:t>
      </w:r>
      <w:r w:rsidR="00991C0D">
        <w:rPr>
          <w:sz w:val="28"/>
          <w:szCs w:val="28"/>
        </w:rPr>
        <w:t>.01.</w:t>
      </w:r>
      <w:r w:rsidR="000836D1" w:rsidRPr="00A06601">
        <w:rPr>
          <w:sz w:val="28"/>
          <w:szCs w:val="28"/>
        </w:rPr>
        <w:t>2025, не підпадають під дію державного ринкового нагляду відповідно до пункту 49 Переліку видів продукції, щодо яких органи державного ринкового нагляду здійснюють державний ринковий нагляд, затвердженого постановою Кабінету Міністрів України від 28</w:t>
      </w:r>
      <w:r w:rsidR="00991C0D">
        <w:rPr>
          <w:sz w:val="28"/>
          <w:szCs w:val="28"/>
        </w:rPr>
        <w:t>.12.</w:t>
      </w:r>
      <w:r w:rsidR="000836D1" w:rsidRPr="00A06601">
        <w:rPr>
          <w:sz w:val="28"/>
          <w:szCs w:val="28"/>
        </w:rPr>
        <w:t>2016</w:t>
      </w:r>
      <w:r w:rsidR="00991C0D">
        <w:rPr>
          <w:sz w:val="28"/>
          <w:szCs w:val="28"/>
        </w:rPr>
        <w:t xml:space="preserve"> </w:t>
      </w:r>
      <w:r w:rsidR="000836D1" w:rsidRPr="00A06601">
        <w:rPr>
          <w:sz w:val="28"/>
          <w:szCs w:val="28"/>
        </w:rPr>
        <w:t>№ 1069.</w:t>
      </w:r>
    </w:p>
    <w:p w14:paraId="4F3899C8" w14:textId="77777777" w:rsidR="000836D1" w:rsidRDefault="000836D1" w:rsidP="006E3687">
      <w:pPr>
        <w:ind w:firstLine="567"/>
        <w:jc w:val="both"/>
        <w:rPr>
          <w:sz w:val="28"/>
          <w:szCs w:val="28"/>
        </w:rPr>
      </w:pPr>
    </w:p>
    <w:p w14:paraId="61019B7E" w14:textId="3DE9396A" w:rsidR="0065415F" w:rsidRPr="00CA552A" w:rsidRDefault="00FA7311" w:rsidP="006E368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r w:rsidR="003B1AEE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Правові аспекти</w:t>
      </w:r>
    </w:p>
    <w:p w14:paraId="35CC57CC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У цій сфері суспільних відносин діють такі нормативно-правові акти:</w:t>
      </w:r>
    </w:p>
    <w:p w14:paraId="7B50F03E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Закон України «Про технічні регламенти та оцінку відповідності»;</w:t>
      </w:r>
    </w:p>
    <w:p w14:paraId="6B1D7122" w14:textId="77777777" w:rsidR="00C55CF8" w:rsidRPr="00CA552A" w:rsidRDefault="00C55CF8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постанова Кабінету Міністрів України від 16.12.2015 № 1057 «Про визначення сфер діяльності, в яких центральні органи виконавчої влади здійснюють функції технічного регулювання та Служба безпеки України здійснюють функції технічного регулювання»;</w:t>
      </w:r>
    </w:p>
    <w:p w14:paraId="63A4F979" w14:textId="46DC66FB" w:rsidR="003B1AEE" w:rsidRPr="00CA552A" w:rsidRDefault="00A17A45" w:rsidP="006E3687">
      <w:pPr>
        <w:ind w:firstLine="567"/>
        <w:jc w:val="both"/>
        <w:rPr>
          <w:sz w:val="28"/>
          <w:szCs w:val="28"/>
        </w:rPr>
      </w:pPr>
      <w:r w:rsidRPr="00CA552A">
        <w:rPr>
          <w:sz w:val="28"/>
          <w:szCs w:val="28"/>
        </w:rPr>
        <w:t>П</w:t>
      </w:r>
      <w:r w:rsidR="00C55CF8" w:rsidRPr="00CA552A">
        <w:rPr>
          <w:sz w:val="28"/>
          <w:szCs w:val="28"/>
        </w:rPr>
        <w:t>оложення про Державне агентство з енергоефективності та енергозбереження України, затверджене постановою Кабінету Міністрів України від 26.11.2014 № 676</w:t>
      </w:r>
      <w:r w:rsidR="00991C0D">
        <w:rPr>
          <w:sz w:val="28"/>
          <w:szCs w:val="28"/>
        </w:rPr>
        <w:t xml:space="preserve"> (зі змінами</w:t>
      </w:r>
      <w:bookmarkStart w:id="0" w:name="_GoBack"/>
      <w:bookmarkEnd w:id="0"/>
      <w:r w:rsidR="00991C0D">
        <w:rPr>
          <w:sz w:val="28"/>
          <w:szCs w:val="28"/>
        </w:rPr>
        <w:t>)</w:t>
      </w:r>
      <w:r w:rsidR="00C55CF8" w:rsidRPr="00CA552A">
        <w:rPr>
          <w:sz w:val="28"/>
          <w:szCs w:val="28"/>
        </w:rPr>
        <w:t>.</w:t>
      </w:r>
    </w:p>
    <w:p w14:paraId="3DA7B42E" w14:textId="77777777" w:rsidR="00CD2B6F" w:rsidRPr="00CA552A" w:rsidRDefault="00CD2B6F" w:rsidP="006E3687">
      <w:pPr>
        <w:ind w:firstLine="567"/>
        <w:jc w:val="both"/>
        <w:rPr>
          <w:sz w:val="28"/>
          <w:szCs w:val="28"/>
        </w:rPr>
      </w:pPr>
    </w:p>
    <w:p w14:paraId="15B72271" w14:textId="0147E1A2" w:rsidR="0065415F" w:rsidRPr="00CA552A" w:rsidRDefault="00CD2B6F" w:rsidP="006E3687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5. </w:t>
      </w:r>
      <w:r w:rsidR="0063419D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Фінансово-економічне </w:t>
      </w:r>
      <w:r w:rsidR="00215681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обґрунтування</w:t>
      </w:r>
    </w:p>
    <w:p w14:paraId="302E62D8" w14:textId="7EDCA12D" w:rsidR="00C12058" w:rsidRPr="00CA552A" w:rsidRDefault="0065415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pacing w:val="1"/>
          <w:sz w:val="28"/>
          <w:szCs w:val="28"/>
        </w:rPr>
        <w:t>Реалізація про</w:t>
      </w:r>
      <w:r w:rsidR="00A17A45" w:rsidRPr="00CA552A">
        <w:rPr>
          <w:color w:val="000000"/>
          <w:spacing w:val="1"/>
          <w:sz w:val="28"/>
          <w:szCs w:val="28"/>
        </w:rPr>
        <w:t>е</w:t>
      </w:r>
      <w:r w:rsidRPr="00CA552A">
        <w:rPr>
          <w:color w:val="000000"/>
          <w:spacing w:val="1"/>
          <w:sz w:val="28"/>
          <w:szCs w:val="28"/>
        </w:rPr>
        <w:t>кту</w:t>
      </w:r>
      <w:r w:rsidR="00C66F8C" w:rsidRPr="00CA552A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066A27">
        <w:rPr>
          <w:color w:val="000000"/>
          <w:spacing w:val="1"/>
          <w:sz w:val="28"/>
          <w:szCs w:val="28"/>
        </w:rPr>
        <w:t>акта</w:t>
      </w:r>
      <w:proofErr w:type="spellEnd"/>
      <w:r w:rsidR="00C66F8C" w:rsidRPr="00CA552A">
        <w:rPr>
          <w:color w:val="000000"/>
          <w:spacing w:val="1"/>
          <w:sz w:val="28"/>
          <w:szCs w:val="28"/>
        </w:rPr>
        <w:t xml:space="preserve"> </w:t>
      </w:r>
      <w:r w:rsidRPr="00CA552A">
        <w:rPr>
          <w:color w:val="000000"/>
          <w:sz w:val="28"/>
          <w:szCs w:val="28"/>
        </w:rPr>
        <w:t xml:space="preserve">не потребує додаткових матеріальних та інших витрат. Всі видатки </w:t>
      </w:r>
      <w:r w:rsidR="00C66F8C" w:rsidRPr="00CA552A">
        <w:rPr>
          <w:color w:val="000000"/>
          <w:sz w:val="28"/>
          <w:szCs w:val="28"/>
        </w:rPr>
        <w:t xml:space="preserve">щодо </w:t>
      </w:r>
      <w:r w:rsidRPr="00CA552A">
        <w:rPr>
          <w:color w:val="000000"/>
          <w:sz w:val="28"/>
          <w:szCs w:val="28"/>
        </w:rPr>
        <w:t>заход</w:t>
      </w:r>
      <w:r w:rsidR="00C66F8C" w:rsidRPr="00CA552A">
        <w:rPr>
          <w:color w:val="000000"/>
          <w:sz w:val="28"/>
          <w:szCs w:val="28"/>
        </w:rPr>
        <w:t>ів</w:t>
      </w:r>
      <w:r w:rsidRPr="00CA552A">
        <w:rPr>
          <w:color w:val="000000"/>
          <w:sz w:val="28"/>
          <w:szCs w:val="28"/>
        </w:rPr>
        <w:t xml:space="preserve"> з впровадження Технічного регламенту будуть здійснюватися в межах коштів, передбачених головними розпорядниками на відповідний бюджетний рік.</w:t>
      </w:r>
    </w:p>
    <w:p w14:paraId="64FB2DE2" w14:textId="77777777" w:rsidR="00CD2B6F" w:rsidRPr="00CA552A" w:rsidRDefault="00CD2B6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564BB95E" w14:textId="131C13F1" w:rsidR="008D1331" w:rsidRPr="00CA552A" w:rsidRDefault="00CD2B6F" w:rsidP="006E3687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6. </w:t>
      </w:r>
      <w:r w:rsidR="00515D2D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Позиція заінтересованих сторін</w:t>
      </w:r>
    </w:p>
    <w:p w14:paraId="4141D1A5" w14:textId="69026C92" w:rsidR="001F5159" w:rsidRPr="00CA552A" w:rsidRDefault="001F5159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Про</w:t>
      </w:r>
      <w:r w:rsidR="00A17A45" w:rsidRPr="00CA552A">
        <w:rPr>
          <w:color w:val="000000"/>
          <w:sz w:val="28"/>
          <w:szCs w:val="28"/>
        </w:rPr>
        <w:t>е</w:t>
      </w:r>
      <w:r w:rsidRPr="00CA552A">
        <w:rPr>
          <w:color w:val="000000"/>
          <w:sz w:val="28"/>
          <w:szCs w:val="28"/>
        </w:rPr>
        <w:t xml:space="preserve">кт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держаної та не надсилався на розгляд Наукового комітету Національної ради України з питань розвитку науки і технологій, оскільки він не стосується сфери наукової та науково-технічної діяльності.</w:t>
      </w:r>
    </w:p>
    <w:p w14:paraId="15148B93" w14:textId="77777777" w:rsidR="001F5159" w:rsidRPr="00CA552A" w:rsidRDefault="001F5159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Крім того, реалізація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не матиме впливу на інтереси окремих верств (груп) населення, об’єднаних спільними інтересами.</w:t>
      </w:r>
    </w:p>
    <w:p w14:paraId="24CC7409" w14:textId="70ABB4A8" w:rsidR="00F1110C" w:rsidRPr="00CA552A" w:rsidRDefault="001F5159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Консультації із заінтересованими сторонами стосовно про</w:t>
      </w:r>
      <w:r w:rsidR="00A17A45" w:rsidRPr="00CA552A">
        <w:rPr>
          <w:color w:val="000000"/>
          <w:sz w:val="28"/>
          <w:szCs w:val="28"/>
        </w:rPr>
        <w:t>е</w:t>
      </w:r>
      <w:r w:rsidRPr="00CA552A">
        <w:rPr>
          <w:color w:val="000000"/>
          <w:sz w:val="28"/>
          <w:szCs w:val="28"/>
        </w:rPr>
        <w:t xml:space="preserve">кту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не проводилися.</w:t>
      </w:r>
    </w:p>
    <w:p w14:paraId="232F52BA" w14:textId="77777777" w:rsidR="00CD2B6F" w:rsidRPr="00CA552A" w:rsidRDefault="00CD2B6F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6526916E" w14:textId="3735BA0D" w:rsidR="006F6E44" w:rsidRPr="00CA552A" w:rsidRDefault="00CD2B6F" w:rsidP="006E3687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7. </w:t>
      </w:r>
      <w:r w:rsidR="0063419D" w:rsidRPr="00CA552A">
        <w:rPr>
          <w:rFonts w:ascii="Times New Roman" w:hAnsi="Times New Roman"/>
          <w:b/>
          <w:color w:val="000000"/>
          <w:sz w:val="28"/>
          <w:szCs w:val="28"/>
          <w:lang w:val="uk-UA"/>
        </w:rPr>
        <w:t>Оцінка відповідності</w:t>
      </w:r>
    </w:p>
    <w:p w14:paraId="54B42AEA" w14:textId="6ABA350C" w:rsidR="00C55CF8" w:rsidRPr="00CA552A" w:rsidRDefault="00883B5F" w:rsidP="006E36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Проект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за предметом правового регулювання не належить до сфер, правовідносини в яких регулюються правом Європейського Союзу (</w:t>
      </w:r>
      <w:proofErr w:type="spellStart"/>
      <w:r w:rsidRPr="00CA552A">
        <w:rPr>
          <w:color w:val="000000"/>
          <w:sz w:val="28"/>
          <w:szCs w:val="28"/>
        </w:rPr>
        <w:t>acquis</w:t>
      </w:r>
      <w:proofErr w:type="spellEnd"/>
      <w:r w:rsidRPr="00CA552A">
        <w:rPr>
          <w:color w:val="000000"/>
          <w:sz w:val="28"/>
          <w:szCs w:val="28"/>
        </w:rPr>
        <w:t xml:space="preserve"> ЄС) та міжнародно-правовими зобов’язаннями України у сфері європейської інтеграції</w:t>
      </w:r>
      <w:r w:rsidR="00C55CF8" w:rsidRPr="00CA552A">
        <w:rPr>
          <w:color w:val="000000"/>
          <w:sz w:val="28"/>
          <w:szCs w:val="28"/>
        </w:rPr>
        <w:t>.</w:t>
      </w:r>
    </w:p>
    <w:p w14:paraId="1EDF3192" w14:textId="77777777" w:rsidR="00C55CF8" w:rsidRPr="00CA552A" w:rsidRDefault="00C55CF8" w:rsidP="006E3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lastRenderedPageBreak/>
        <w:t xml:space="preserve">У проекті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відсутні положення, що стосуються прав та свобод, гарантованих Конвенцією про захист прав людини і основоположних свобод.  Проект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не впливає на забезпечення рівних прав та можливостей жінок і чоловіків, не містить ризиків вчинення корупційних правопорушень та правопорушень, пов’язаних з корупцією, не створює підстави для дискримінації, не стосується інших ризиків та обмежень, які можуть виникнути під час реалізації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>.</w:t>
      </w:r>
    </w:p>
    <w:p w14:paraId="2FD120EC" w14:textId="4985716C" w:rsidR="000B795B" w:rsidRPr="00CA552A" w:rsidRDefault="000B795B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Про</w:t>
      </w:r>
      <w:r w:rsidR="00A17A45" w:rsidRPr="00CA552A">
        <w:rPr>
          <w:color w:val="000000"/>
          <w:sz w:val="28"/>
          <w:szCs w:val="28"/>
        </w:rPr>
        <w:t>е</w:t>
      </w:r>
      <w:r w:rsidRPr="00CA552A">
        <w:rPr>
          <w:color w:val="000000"/>
          <w:sz w:val="28"/>
          <w:szCs w:val="28"/>
        </w:rPr>
        <w:t xml:space="preserve">кт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</w:t>
      </w:r>
      <w:r w:rsidR="00390506" w:rsidRPr="00CA552A">
        <w:rPr>
          <w:color w:val="000000"/>
          <w:sz w:val="28"/>
          <w:szCs w:val="28"/>
        </w:rPr>
        <w:t>буде</w:t>
      </w:r>
      <w:r w:rsidRPr="00CA552A">
        <w:rPr>
          <w:color w:val="000000"/>
          <w:sz w:val="28"/>
          <w:szCs w:val="28"/>
        </w:rPr>
        <w:t xml:space="preserve"> надіслан</w:t>
      </w:r>
      <w:r w:rsidR="00390506" w:rsidRPr="00CA552A">
        <w:rPr>
          <w:color w:val="000000"/>
          <w:sz w:val="28"/>
          <w:szCs w:val="28"/>
        </w:rPr>
        <w:t>о</w:t>
      </w:r>
      <w:r w:rsidRPr="00CA552A">
        <w:rPr>
          <w:color w:val="000000"/>
          <w:sz w:val="28"/>
          <w:szCs w:val="28"/>
        </w:rPr>
        <w:t xml:space="preserve"> до НАЗК для визначення необхідності проведення антикорупційної експертизи.</w:t>
      </w:r>
    </w:p>
    <w:p w14:paraId="0C829EA4" w14:textId="545420EC" w:rsidR="003D1F08" w:rsidRPr="00CA552A" w:rsidRDefault="001F5159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Громадська </w:t>
      </w:r>
      <w:proofErr w:type="spellStart"/>
      <w:r w:rsidRPr="00CA552A">
        <w:rPr>
          <w:color w:val="000000"/>
          <w:sz w:val="28"/>
          <w:szCs w:val="28"/>
        </w:rPr>
        <w:t>антидискримінаційна</w:t>
      </w:r>
      <w:proofErr w:type="spellEnd"/>
      <w:r w:rsidRPr="00CA552A">
        <w:rPr>
          <w:color w:val="000000"/>
          <w:sz w:val="28"/>
          <w:szCs w:val="28"/>
        </w:rPr>
        <w:t xml:space="preserve">, громадська </w:t>
      </w:r>
      <w:proofErr w:type="spellStart"/>
      <w:r w:rsidRPr="00CA552A">
        <w:rPr>
          <w:color w:val="000000"/>
          <w:sz w:val="28"/>
          <w:szCs w:val="28"/>
        </w:rPr>
        <w:t>гендерно</w:t>
      </w:r>
      <w:proofErr w:type="spellEnd"/>
      <w:r w:rsidRPr="00CA552A">
        <w:rPr>
          <w:color w:val="000000"/>
          <w:sz w:val="28"/>
          <w:szCs w:val="28"/>
        </w:rPr>
        <w:t>-правова експертизи не проводились.</w:t>
      </w:r>
    </w:p>
    <w:p w14:paraId="05FE4181" w14:textId="77777777" w:rsidR="00F85188" w:rsidRPr="00CA552A" w:rsidRDefault="00F85188" w:rsidP="006E368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77EC3962" w14:textId="0623A68B" w:rsidR="006F6E44" w:rsidRPr="00CA552A" w:rsidRDefault="00F85188" w:rsidP="006E3687">
      <w:pPr>
        <w:pStyle w:val="a7"/>
        <w:shd w:val="clear" w:color="auto" w:fill="FFFFFF"/>
        <w:tabs>
          <w:tab w:val="left" w:pos="10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8. </w:t>
      </w:r>
      <w:r w:rsidR="005561A6" w:rsidRPr="00CA55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Прогноз результатів</w:t>
      </w:r>
    </w:p>
    <w:p w14:paraId="5E91D155" w14:textId="77777777" w:rsidR="00BC5F27" w:rsidRPr="00CA552A" w:rsidRDefault="00BC5F27" w:rsidP="006E368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 xml:space="preserve">Очікуваний результат реалізації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</w:t>
      </w:r>
      <w:r w:rsidRPr="00CA552A">
        <w:rPr>
          <w:sz w:val="28"/>
          <w:szCs w:val="28"/>
        </w:rPr>
        <w:t>на ринкове середовище</w:t>
      </w:r>
      <w:r w:rsidRPr="00CA552A">
        <w:rPr>
          <w:color w:val="000000"/>
          <w:sz w:val="28"/>
          <w:szCs w:val="28"/>
        </w:rPr>
        <w:t>:</w:t>
      </w:r>
      <w:r w:rsidRPr="00CA552A">
        <w:rPr>
          <w:sz w:val="28"/>
          <w:szCs w:val="28"/>
        </w:rPr>
        <w:t xml:space="preserve"> </w:t>
      </w:r>
      <w:r w:rsidRPr="00CA552A">
        <w:rPr>
          <w:color w:val="000000"/>
          <w:sz w:val="28"/>
          <w:szCs w:val="28"/>
        </w:rPr>
        <w:t xml:space="preserve">не матиме негативного впливу; </w:t>
      </w:r>
    </w:p>
    <w:p w14:paraId="17064672" w14:textId="292E74C2" w:rsidR="00D5448D" w:rsidRPr="00CA552A" w:rsidRDefault="00D5448D" w:rsidP="006E36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забезпечення захисту прав та інтересів суб’єктів господарювання, громадян і держави:</w:t>
      </w:r>
      <w:r w:rsidR="00883B5F" w:rsidRPr="00CA552A">
        <w:rPr>
          <w:color w:val="000000"/>
          <w:sz w:val="28"/>
          <w:szCs w:val="28"/>
        </w:rPr>
        <w:t xml:space="preserve"> </w:t>
      </w:r>
      <w:r w:rsidRPr="00CA552A">
        <w:rPr>
          <w:color w:val="000000"/>
          <w:sz w:val="28"/>
          <w:szCs w:val="28"/>
        </w:rPr>
        <w:t xml:space="preserve">для держави вигодами від прийняття </w:t>
      </w:r>
      <w:proofErr w:type="spellStart"/>
      <w:r w:rsidRPr="00CA552A">
        <w:rPr>
          <w:color w:val="000000"/>
          <w:sz w:val="28"/>
          <w:szCs w:val="28"/>
        </w:rPr>
        <w:t>акта</w:t>
      </w:r>
      <w:proofErr w:type="spellEnd"/>
      <w:r w:rsidRPr="00CA552A">
        <w:rPr>
          <w:color w:val="000000"/>
          <w:sz w:val="28"/>
          <w:szCs w:val="28"/>
        </w:rPr>
        <w:t xml:space="preserve"> буде пришвидшення відновлення </w:t>
      </w:r>
      <w:r w:rsidR="00740052" w:rsidRPr="00CA552A">
        <w:rPr>
          <w:color w:val="000000"/>
          <w:sz w:val="28"/>
          <w:szCs w:val="28"/>
        </w:rPr>
        <w:t>енергетичної інфраструктури</w:t>
      </w:r>
      <w:r w:rsidRPr="00CA552A">
        <w:rPr>
          <w:color w:val="000000"/>
          <w:sz w:val="28"/>
          <w:szCs w:val="28"/>
        </w:rPr>
        <w:t>, для суб’єктів господарювання – можливість оперативного виготовлення та постачання енергетичного обладнання для відбудови зруйнованих об’єкті</w:t>
      </w:r>
      <w:r w:rsidR="00740052" w:rsidRPr="00CA552A">
        <w:rPr>
          <w:color w:val="000000"/>
          <w:sz w:val="28"/>
          <w:szCs w:val="28"/>
        </w:rPr>
        <w:t xml:space="preserve">в енергетичної інфраструктури </w:t>
      </w:r>
      <w:r w:rsidRPr="00CA552A">
        <w:rPr>
          <w:color w:val="000000"/>
          <w:sz w:val="28"/>
          <w:szCs w:val="28"/>
        </w:rPr>
        <w:t>та для громадян – стабільне</w:t>
      </w:r>
      <w:r w:rsidR="00973F80" w:rsidRPr="00CA552A">
        <w:rPr>
          <w:color w:val="000000"/>
          <w:sz w:val="28"/>
          <w:szCs w:val="28"/>
        </w:rPr>
        <w:t xml:space="preserve"> постачання електричної енергії</w:t>
      </w:r>
      <w:r w:rsidRPr="00CA552A">
        <w:rPr>
          <w:color w:val="000000"/>
          <w:sz w:val="28"/>
          <w:szCs w:val="28"/>
        </w:rPr>
        <w:t>;</w:t>
      </w:r>
    </w:p>
    <w:p w14:paraId="66C936AA" w14:textId="77777777" w:rsidR="00D5448D" w:rsidRPr="00CA552A" w:rsidRDefault="00D5448D" w:rsidP="006E36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підвищення чи зниження спроможності територіальних громад: не буде мати негативного впливу;</w:t>
      </w:r>
    </w:p>
    <w:p w14:paraId="5042FAE3" w14:textId="77777777" w:rsidR="00D5448D" w:rsidRPr="00CA552A" w:rsidRDefault="00D5448D" w:rsidP="006E36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ринок праці та рівень зайнятості населення: не впливає;</w:t>
      </w:r>
    </w:p>
    <w:p w14:paraId="1099AAA4" w14:textId="349FBC38" w:rsidR="00BC5F27" w:rsidRPr="00CA552A" w:rsidRDefault="00D5448D" w:rsidP="006E368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CA552A">
        <w:rPr>
          <w:color w:val="000000"/>
          <w:sz w:val="28"/>
          <w:szCs w:val="28"/>
        </w:rPr>
        <w:t>екологію та навколишнє природне середовище: не буде мати негативного впливу.</w:t>
      </w:r>
    </w:p>
    <w:p w14:paraId="40C29AA3" w14:textId="57A32BA9" w:rsidR="00C34C96" w:rsidRPr="00CA552A" w:rsidRDefault="00C34C96" w:rsidP="006E3687">
      <w:pPr>
        <w:pStyle w:val="ac"/>
        <w:spacing w:before="0"/>
        <w:rPr>
          <w:rFonts w:ascii="Times New Roman" w:hAnsi="Times New Roman"/>
          <w:sz w:val="28"/>
          <w:szCs w:val="28"/>
        </w:rPr>
      </w:pPr>
      <w:r w:rsidRPr="00CA552A">
        <w:rPr>
          <w:rFonts w:ascii="Times New Roman" w:hAnsi="Times New Roman"/>
          <w:sz w:val="28"/>
          <w:szCs w:val="28"/>
        </w:rPr>
        <w:t>Вплив на ключові інтереси усіх заінтересованих сторін:</w:t>
      </w:r>
    </w:p>
    <w:p w14:paraId="4702C256" w14:textId="77777777" w:rsidR="00EC04A6" w:rsidRPr="00CA552A" w:rsidRDefault="00EC04A6" w:rsidP="00E27857">
      <w:pPr>
        <w:pStyle w:val="ac"/>
        <w:spacing w:before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3631"/>
        <w:gridCol w:w="3911"/>
      </w:tblGrid>
      <w:tr w:rsidR="00EC04A6" w:rsidRPr="00CA552A" w14:paraId="0D670B3A" w14:textId="77777777" w:rsidTr="00EC04A6">
        <w:trPr>
          <w:trHeight w:val="832"/>
        </w:trPr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BC0D5" w14:textId="79D78357" w:rsidR="003D1F08" w:rsidRPr="00CA552A" w:rsidRDefault="00236854" w:rsidP="00545D28">
            <w:pPr>
              <w:ind w:left="42" w:right="63"/>
              <w:jc w:val="center"/>
              <w:rPr>
                <w:sz w:val="26"/>
                <w:szCs w:val="26"/>
                <w:lang w:eastAsia="en-US"/>
              </w:rPr>
            </w:pPr>
            <w:r w:rsidRPr="00CA552A">
              <w:rPr>
                <w:sz w:val="26"/>
                <w:szCs w:val="26"/>
                <w:lang w:eastAsia="en-US"/>
              </w:rPr>
              <w:t>Заінтересована</w:t>
            </w:r>
          </w:p>
          <w:p w14:paraId="580DAF98" w14:textId="3A018D03" w:rsidR="00236854" w:rsidRPr="00CA552A" w:rsidRDefault="00236854" w:rsidP="00545D28">
            <w:pPr>
              <w:ind w:left="42" w:right="63"/>
              <w:jc w:val="center"/>
              <w:rPr>
                <w:sz w:val="26"/>
                <w:szCs w:val="26"/>
                <w:lang w:eastAsia="en-US"/>
              </w:rPr>
            </w:pPr>
            <w:r w:rsidRPr="00CA552A">
              <w:rPr>
                <w:sz w:val="26"/>
                <w:szCs w:val="26"/>
                <w:lang w:eastAsia="en-US"/>
              </w:rPr>
              <w:t>сторона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6478B" w14:textId="23CDC913" w:rsidR="00F1110C" w:rsidRPr="00CA552A" w:rsidRDefault="00236854" w:rsidP="00545D28">
            <w:pPr>
              <w:ind w:left="42" w:right="63"/>
              <w:jc w:val="center"/>
              <w:rPr>
                <w:sz w:val="26"/>
                <w:szCs w:val="26"/>
                <w:lang w:eastAsia="en-US"/>
              </w:rPr>
            </w:pPr>
            <w:r w:rsidRPr="00CA552A">
              <w:rPr>
                <w:sz w:val="26"/>
                <w:szCs w:val="26"/>
                <w:lang w:eastAsia="en-US"/>
              </w:rPr>
              <w:t>Вплив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r w:rsidRPr="00CA552A">
              <w:rPr>
                <w:sz w:val="26"/>
                <w:szCs w:val="26"/>
                <w:lang w:eastAsia="en-US"/>
              </w:rPr>
              <w:t>реалізації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A552A">
              <w:rPr>
                <w:sz w:val="26"/>
                <w:szCs w:val="26"/>
                <w:lang w:eastAsia="en-US"/>
              </w:rPr>
              <w:t>акта</w:t>
            </w:r>
            <w:proofErr w:type="spellEnd"/>
            <w:r w:rsidR="00390506" w:rsidRPr="00CA552A">
              <w:rPr>
                <w:sz w:val="26"/>
                <w:szCs w:val="26"/>
                <w:lang w:eastAsia="en-US"/>
              </w:rPr>
              <w:t xml:space="preserve"> н</w:t>
            </w:r>
            <w:r w:rsidRPr="00CA552A">
              <w:rPr>
                <w:sz w:val="26"/>
                <w:szCs w:val="26"/>
                <w:lang w:eastAsia="en-US"/>
              </w:rPr>
              <w:t>а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r w:rsidRPr="00CA552A">
              <w:rPr>
                <w:sz w:val="26"/>
                <w:szCs w:val="26"/>
                <w:lang w:eastAsia="en-US"/>
              </w:rPr>
              <w:t>заінтересовану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r w:rsidRPr="00CA552A">
              <w:rPr>
                <w:sz w:val="26"/>
                <w:szCs w:val="26"/>
                <w:lang w:eastAsia="en-US"/>
              </w:rPr>
              <w:t>сторону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35380" w14:textId="0553709B" w:rsidR="00236854" w:rsidRPr="00CA552A" w:rsidRDefault="00236854" w:rsidP="00545D28">
            <w:pPr>
              <w:ind w:left="42" w:right="63"/>
              <w:jc w:val="center"/>
              <w:rPr>
                <w:sz w:val="26"/>
                <w:szCs w:val="26"/>
                <w:lang w:eastAsia="en-US"/>
              </w:rPr>
            </w:pPr>
            <w:r w:rsidRPr="00CA552A">
              <w:rPr>
                <w:sz w:val="26"/>
                <w:szCs w:val="26"/>
                <w:lang w:eastAsia="en-US"/>
              </w:rPr>
              <w:t>Пояснення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r w:rsidRPr="00CA552A">
              <w:rPr>
                <w:sz w:val="26"/>
                <w:szCs w:val="26"/>
                <w:lang w:eastAsia="en-US"/>
              </w:rPr>
              <w:t>очікуваного</w:t>
            </w:r>
            <w:r w:rsidR="00A81926" w:rsidRPr="00CA552A">
              <w:rPr>
                <w:sz w:val="26"/>
                <w:szCs w:val="26"/>
                <w:lang w:eastAsia="en-US"/>
              </w:rPr>
              <w:t xml:space="preserve">                   </w:t>
            </w:r>
            <w:r w:rsidR="00390506" w:rsidRPr="00CA552A">
              <w:rPr>
                <w:sz w:val="26"/>
                <w:szCs w:val="26"/>
                <w:lang w:eastAsia="en-US"/>
              </w:rPr>
              <w:t xml:space="preserve"> </w:t>
            </w:r>
            <w:r w:rsidRPr="00CA552A">
              <w:rPr>
                <w:sz w:val="26"/>
                <w:szCs w:val="26"/>
                <w:lang w:eastAsia="en-US"/>
              </w:rPr>
              <w:t>впливу</w:t>
            </w:r>
          </w:p>
        </w:tc>
      </w:tr>
      <w:tr w:rsidR="00EC04A6" w:rsidRPr="00CA552A" w14:paraId="63FD27CD" w14:textId="77777777" w:rsidTr="00EC04A6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D049" w14:textId="77777777" w:rsidR="00340299" w:rsidRPr="00CA552A" w:rsidRDefault="00340299" w:rsidP="00290F40">
            <w:pPr>
              <w:ind w:left="42" w:right="63" w:firstLine="227"/>
              <w:contextualSpacing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>Держава та в</w:t>
            </w:r>
            <w:r w:rsidR="00C97B9C" w:rsidRPr="00CA552A">
              <w:rPr>
                <w:color w:val="000000"/>
                <w:sz w:val="26"/>
                <w:szCs w:val="26"/>
              </w:rPr>
              <w:t xml:space="preserve">ітчизняні </w:t>
            </w:r>
          </w:p>
          <w:p w14:paraId="33C0834A" w14:textId="0ACA3546" w:rsidR="00236854" w:rsidRPr="00CA552A" w:rsidRDefault="00C97B9C" w:rsidP="00290F40">
            <w:pPr>
              <w:ind w:left="42" w:right="63" w:firstLine="227"/>
              <w:contextualSpacing/>
              <w:rPr>
                <w:sz w:val="26"/>
                <w:szCs w:val="26"/>
                <w:lang w:eastAsia="en-US"/>
              </w:rPr>
            </w:pPr>
            <w:r w:rsidRPr="00CA552A">
              <w:rPr>
                <w:color w:val="000000"/>
                <w:sz w:val="26"/>
                <w:szCs w:val="26"/>
              </w:rPr>
              <w:t>виробники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97210" w14:textId="41191E00" w:rsidR="005A2935" w:rsidRPr="00CA552A" w:rsidRDefault="005A2935" w:rsidP="002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1"/>
              </w:tabs>
              <w:ind w:left="42" w:right="63" w:firstLine="227"/>
              <w:jc w:val="both"/>
              <w:rPr>
                <w:sz w:val="26"/>
                <w:szCs w:val="26"/>
                <w:lang w:eastAsia="en-US"/>
              </w:rPr>
            </w:pPr>
            <w:r w:rsidRPr="00CA552A">
              <w:rPr>
                <w:color w:val="000000"/>
                <w:sz w:val="26"/>
                <w:szCs w:val="26"/>
              </w:rPr>
              <w:t xml:space="preserve">Можливість оперативного виготовлення та постачання енергетичного обладнання для відбудови зруйнованих об’єктів енергетичної інфраструктури </w:t>
            </w:r>
            <w:r w:rsidR="0090326F" w:rsidRPr="00CA552A">
              <w:rPr>
                <w:color w:val="000000"/>
                <w:sz w:val="26"/>
                <w:szCs w:val="26"/>
              </w:rPr>
              <w:t>України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8145A" w14:textId="40EFD3FC" w:rsidR="00F61922" w:rsidRPr="00CA552A" w:rsidRDefault="00207223" w:rsidP="002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</w:tabs>
              <w:ind w:left="42" w:right="63" w:firstLine="227"/>
              <w:jc w:val="both"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>Прийн</w:t>
            </w:r>
            <w:r w:rsidR="00390506" w:rsidRPr="00CA552A">
              <w:rPr>
                <w:color w:val="000000"/>
                <w:sz w:val="26"/>
                <w:szCs w:val="26"/>
              </w:rPr>
              <w:t xml:space="preserve">яття проекту </w:t>
            </w:r>
            <w:proofErr w:type="spellStart"/>
            <w:r w:rsidR="00390506" w:rsidRPr="00CA552A">
              <w:rPr>
                <w:color w:val="000000"/>
                <w:sz w:val="26"/>
                <w:szCs w:val="26"/>
              </w:rPr>
              <w:t>акта</w:t>
            </w:r>
            <w:proofErr w:type="spellEnd"/>
            <w:r w:rsidR="00390506" w:rsidRPr="00CA552A">
              <w:rPr>
                <w:color w:val="000000"/>
                <w:sz w:val="26"/>
                <w:szCs w:val="26"/>
              </w:rPr>
              <w:t xml:space="preserve"> </w:t>
            </w:r>
            <w:r w:rsidR="00F61922" w:rsidRPr="00CA552A">
              <w:rPr>
                <w:color w:val="000000"/>
                <w:sz w:val="26"/>
                <w:szCs w:val="26"/>
              </w:rPr>
              <w:t xml:space="preserve">дозволить </w:t>
            </w:r>
            <w:r w:rsidR="004E7BB6" w:rsidRPr="00CA552A">
              <w:rPr>
                <w:color w:val="000000"/>
                <w:sz w:val="26"/>
                <w:szCs w:val="26"/>
              </w:rPr>
              <w:t xml:space="preserve">уникнути </w:t>
            </w:r>
            <w:r w:rsidR="00F61922" w:rsidRPr="00CA552A">
              <w:rPr>
                <w:color w:val="000000"/>
                <w:sz w:val="26"/>
                <w:szCs w:val="26"/>
              </w:rPr>
              <w:t>необхідності термінового  переобладнання виробництва,</w:t>
            </w:r>
            <w:r w:rsidR="00F61922" w:rsidRPr="00CA552A">
              <w:rPr>
                <w:sz w:val="26"/>
                <w:szCs w:val="26"/>
              </w:rPr>
              <w:t xml:space="preserve"> </w:t>
            </w:r>
            <w:r w:rsidR="00F61922" w:rsidRPr="00CA552A">
              <w:rPr>
                <w:color w:val="000000"/>
                <w:sz w:val="26"/>
                <w:szCs w:val="26"/>
              </w:rPr>
              <w:t>збільшення вартості трансформаторного обладнання, що в свою чергу може призвести до уповільнення процесів відновлення зруйнованих інфраструктурних об’єктів.</w:t>
            </w:r>
          </w:p>
          <w:p w14:paraId="2058CD57" w14:textId="66BA8D32" w:rsidR="0052584D" w:rsidRPr="00CA552A" w:rsidRDefault="004F500C" w:rsidP="00290F40">
            <w:pPr>
              <w:ind w:left="42" w:right="63" w:firstLine="227"/>
              <w:jc w:val="both"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>Дасть можливість</w:t>
            </w:r>
            <w:r w:rsidR="0052584D" w:rsidRPr="00CA552A">
              <w:rPr>
                <w:color w:val="000000"/>
                <w:sz w:val="26"/>
                <w:szCs w:val="26"/>
              </w:rPr>
              <w:t xml:space="preserve"> </w:t>
            </w:r>
            <w:r w:rsidRPr="00CA552A">
              <w:rPr>
                <w:color w:val="000000"/>
                <w:sz w:val="26"/>
                <w:szCs w:val="26"/>
              </w:rPr>
              <w:t xml:space="preserve">постачати до </w:t>
            </w:r>
            <w:r w:rsidR="0052584D" w:rsidRPr="00CA552A">
              <w:rPr>
                <w:color w:val="000000"/>
                <w:sz w:val="26"/>
                <w:szCs w:val="26"/>
              </w:rPr>
              <w:t>Україн</w:t>
            </w:r>
            <w:r w:rsidRPr="00CA552A">
              <w:rPr>
                <w:color w:val="000000"/>
                <w:sz w:val="26"/>
                <w:szCs w:val="26"/>
              </w:rPr>
              <w:t>и</w:t>
            </w:r>
            <w:r w:rsidR="00EC04A6" w:rsidRPr="00CA552A">
              <w:rPr>
                <w:color w:val="000000"/>
                <w:sz w:val="26"/>
                <w:szCs w:val="26"/>
              </w:rPr>
              <w:t>,</w:t>
            </w:r>
            <w:r w:rsidRPr="00CA552A">
              <w:rPr>
                <w:color w:val="000000"/>
                <w:sz w:val="26"/>
                <w:szCs w:val="26"/>
              </w:rPr>
              <w:t xml:space="preserve"> </w:t>
            </w:r>
            <w:r w:rsidR="00EC04A6" w:rsidRPr="00CA552A">
              <w:rPr>
                <w:color w:val="000000"/>
                <w:sz w:val="26"/>
                <w:szCs w:val="26"/>
              </w:rPr>
              <w:t xml:space="preserve">в рамках гуманітарної допомоги, </w:t>
            </w:r>
            <w:r w:rsidRPr="00CA552A">
              <w:rPr>
                <w:color w:val="000000"/>
                <w:sz w:val="26"/>
                <w:szCs w:val="26"/>
              </w:rPr>
              <w:t>трансформатори</w:t>
            </w:r>
            <w:r w:rsidR="00EC04A6" w:rsidRPr="00CA552A">
              <w:rPr>
                <w:color w:val="000000"/>
                <w:sz w:val="26"/>
                <w:szCs w:val="26"/>
              </w:rPr>
              <w:t>,</w:t>
            </w:r>
            <w:r w:rsidR="0052584D" w:rsidRPr="00CA552A">
              <w:rPr>
                <w:sz w:val="26"/>
                <w:szCs w:val="26"/>
              </w:rPr>
              <w:t xml:space="preserve"> </w:t>
            </w:r>
            <w:r w:rsidR="0052584D" w:rsidRPr="00CA552A">
              <w:rPr>
                <w:color w:val="000000"/>
                <w:sz w:val="26"/>
                <w:szCs w:val="26"/>
              </w:rPr>
              <w:t>що відповідають вимогам 1 рівн</w:t>
            </w:r>
            <w:r w:rsidR="006A54B0" w:rsidRPr="00CA552A">
              <w:rPr>
                <w:color w:val="000000"/>
                <w:sz w:val="26"/>
                <w:szCs w:val="26"/>
              </w:rPr>
              <w:t>я</w:t>
            </w:r>
            <w:r w:rsidR="0052584D" w:rsidRPr="00CA55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2584D" w:rsidRPr="00CA552A">
              <w:rPr>
                <w:color w:val="000000"/>
                <w:sz w:val="26"/>
                <w:szCs w:val="26"/>
              </w:rPr>
              <w:t>екодизайну</w:t>
            </w:r>
            <w:proofErr w:type="spellEnd"/>
            <w:r w:rsidR="0052584D" w:rsidRPr="00CA552A">
              <w:rPr>
                <w:color w:val="000000"/>
                <w:sz w:val="26"/>
                <w:szCs w:val="26"/>
              </w:rPr>
              <w:t xml:space="preserve"> Технічного </w:t>
            </w:r>
            <w:r w:rsidR="0052584D" w:rsidRPr="00CA552A">
              <w:rPr>
                <w:color w:val="000000"/>
                <w:sz w:val="26"/>
                <w:szCs w:val="26"/>
              </w:rPr>
              <w:lastRenderedPageBreak/>
              <w:t>регламенту.</w:t>
            </w:r>
          </w:p>
          <w:p w14:paraId="7D19DB40" w14:textId="46DC09FD" w:rsidR="00EC04A6" w:rsidRPr="00CA552A" w:rsidRDefault="004F500C" w:rsidP="00290F40">
            <w:pPr>
              <w:ind w:left="42" w:right="63" w:firstLine="227"/>
              <w:jc w:val="both"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>Також, дозволить</w:t>
            </w:r>
            <w:r w:rsidR="0052584D" w:rsidRPr="00CA552A">
              <w:rPr>
                <w:color w:val="000000"/>
                <w:sz w:val="26"/>
                <w:szCs w:val="26"/>
              </w:rPr>
              <w:t xml:space="preserve"> </w:t>
            </w:r>
            <w:r w:rsidRPr="00CA552A">
              <w:rPr>
                <w:color w:val="000000"/>
                <w:sz w:val="26"/>
                <w:szCs w:val="26"/>
              </w:rPr>
              <w:t xml:space="preserve">виробникам </w:t>
            </w:r>
            <w:r w:rsidR="0052584D" w:rsidRPr="00CA552A">
              <w:rPr>
                <w:color w:val="000000"/>
                <w:sz w:val="26"/>
                <w:szCs w:val="26"/>
              </w:rPr>
              <w:t>ре</w:t>
            </w:r>
            <w:r w:rsidR="00F61922" w:rsidRPr="00CA552A">
              <w:rPr>
                <w:color w:val="000000"/>
                <w:sz w:val="26"/>
                <w:szCs w:val="26"/>
              </w:rPr>
              <w:t>аліз</w:t>
            </w:r>
            <w:r w:rsidRPr="00CA552A">
              <w:rPr>
                <w:color w:val="000000"/>
                <w:sz w:val="26"/>
                <w:szCs w:val="26"/>
              </w:rPr>
              <w:t xml:space="preserve">овувати </w:t>
            </w:r>
            <w:r w:rsidR="00F61922" w:rsidRPr="00CA552A">
              <w:rPr>
                <w:color w:val="000000"/>
                <w:sz w:val="26"/>
                <w:szCs w:val="26"/>
              </w:rPr>
              <w:t>законтрактован</w:t>
            </w:r>
            <w:r w:rsidRPr="00CA552A">
              <w:rPr>
                <w:color w:val="000000"/>
                <w:sz w:val="26"/>
                <w:szCs w:val="26"/>
              </w:rPr>
              <w:t>і раніше</w:t>
            </w:r>
            <w:r w:rsidR="00F61922" w:rsidRPr="00CA552A">
              <w:rPr>
                <w:color w:val="000000"/>
                <w:sz w:val="26"/>
                <w:szCs w:val="26"/>
              </w:rPr>
              <w:t>, до вступу вищих вимог, трансформатори</w:t>
            </w:r>
          </w:p>
        </w:tc>
      </w:tr>
      <w:tr w:rsidR="00EC04A6" w:rsidRPr="00CA552A" w14:paraId="314537F1" w14:textId="77777777" w:rsidTr="00EC04A6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94EB3F" w14:textId="034096E5" w:rsidR="00236854" w:rsidRPr="00CA552A" w:rsidRDefault="00207223" w:rsidP="00290F40">
            <w:pPr>
              <w:ind w:left="42" w:right="63" w:firstLine="227"/>
              <w:jc w:val="both"/>
              <w:rPr>
                <w:sz w:val="26"/>
                <w:szCs w:val="26"/>
                <w:lang w:eastAsia="en-US"/>
              </w:rPr>
            </w:pPr>
            <w:r w:rsidRPr="00CA552A">
              <w:rPr>
                <w:color w:val="000000"/>
                <w:sz w:val="26"/>
                <w:szCs w:val="26"/>
              </w:rPr>
              <w:lastRenderedPageBreak/>
              <w:t xml:space="preserve">Іноземні виробники та імпортери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1C261" w14:textId="64E09FB2" w:rsidR="00236854" w:rsidRPr="00CA552A" w:rsidRDefault="00545D28" w:rsidP="00290F40">
            <w:pPr>
              <w:tabs>
                <w:tab w:val="left" w:pos="431"/>
              </w:tabs>
              <w:ind w:left="42" w:right="63" w:firstLine="227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CA552A">
              <w:rPr>
                <w:color w:val="000000"/>
                <w:sz w:val="26"/>
                <w:szCs w:val="26"/>
              </w:rPr>
              <w:t>Можливість</w:t>
            </w:r>
            <w:r w:rsidRPr="00CA552A">
              <w:t xml:space="preserve"> і</w:t>
            </w:r>
            <w:r w:rsidRPr="00CA552A">
              <w:rPr>
                <w:color w:val="000000"/>
                <w:sz w:val="26"/>
                <w:szCs w:val="26"/>
              </w:rPr>
              <w:t xml:space="preserve">ноземним виробникам та імпортерам постачати  силові трансформатори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ACBB2" w14:textId="60C6427B" w:rsidR="00EC04A6" w:rsidRPr="00CA552A" w:rsidRDefault="00F61922" w:rsidP="00290F40">
            <w:pPr>
              <w:ind w:left="42" w:right="63" w:firstLine="227"/>
              <w:jc w:val="both"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 xml:space="preserve">Прийняття проекту </w:t>
            </w:r>
            <w:proofErr w:type="spellStart"/>
            <w:r w:rsidRPr="00CA552A">
              <w:rPr>
                <w:color w:val="000000"/>
                <w:sz w:val="26"/>
                <w:szCs w:val="26"/>
              </w:rPr>
              <w:t>акта</w:t>
            </w:r>
            <w:proofErr w:type="spellEnd"/>
            <w:r w:rsidRPr="00CA552A">
              <w:rPr>
                <w:color w:val="000000"/>
                <w:sz w:val="26"/>
                <w:szCs w:val="26"/>
              </w:rPr>
              <w:t xml:space="preserve"> дозволить і</w:t>
            </w:r>
            <w:r w:rsidR="00207223" w:rsidRPr="00CA552A">
              <w:rPr>
                <w:color w:val="000000"/>
                <w:sz w:val="26"/>
                <w:szCs w:val="26"/>
              </w:rPr>
              <w:t>мпортер</w:t>
            </w:r>
            <w:r w:rsidRPr="00CA552A">
              <w:rPr>
                <w:color w:val="000000"/>
                <w:sz w:val="26"/>
                <w:szCs w:val="26"/>
              </w:rPr>
              <w:t>ам</w:t>
            </w:r>
            <w:r w:rsidR="00207223" w:rsidRPr="00CA552A">
              <w:rPr>
                <w:color w:val="000000"/>
                <w:sz w:val="26"/>
                <w:szCs w:val="26"/>
              </w:rPr>
              <w:t xml:space="preserve"> </w:t>
            </w:r>
            <w:r w:rsidRPr="00CA552A">
              <w:rPr>
                <w:color w:val="000000"/>
                <w:sz w:val="26"/>
                <w:szCs w:val="26"/>
              </w:rPr>
              <w:t xml:space="preserve">постачати </w:t>
            </w:r>
            <w:r w:rsidR="003A01D6" w:rsidRPr="00CA552A">
              <w:rPr>
                <w:color w:val="000000"/>
                <w:sz w:val="26"/>
                <w:szCs w:val="26"/>
              </w:rPr>
              <w:t xml:space="preserve">на ринок України </w:t>
            </w:r>
            <w:r w:rsidR="00340299" w:rsidRPr="00CA552A">
              <w:rPr>
                <w:color w:val="000000"/>
                <w:sz w:val="26"/>
                <w:szCs w:val="26"/>
              </w:rPr>
              <w:t>трансформатори</w:t>
            </w:r>
            <w:r w:rsidR="003A01D6" w:rsidRPr="00CA552A">
              <w:rPr>
                <w:color w:val="000000"/>
                <w:sz w:val="26"/>
                <w:szCs w:val="26"/>
              </w:rPr>
              <w:t>, що відповіда</w:t>
            </w:r>
            <w:r w:rsidR="00340299" w:rsidRPr="00CA552A">
              <w:rPr>
                <w:color w:val="000000"/>
                <w:sz w:val="26"/>
                <w:szCs w:val="26"/>
              </w:rPr>
              <w:t>ють</w:t>
            </w:r>
            <w:r w:rsidR="003A01D6" w:rsidRPr="00CA552A">
              <w:rPr>
                <w:color w:val="000000"/>
                <w:sz w:val="26"/>
                <w:szCs w:val="26"/>
              </w:rPr>
              <w:t xml:space="preserve"> вимогам</w:t>
            </w:r>
            <w:r w:rsidR="00340299" w:rsidRPr="00CA552A">
              <w:rPr>
                <w:color w:val="000000"/>
                <w:sz w:val="26"/>
                <w:szCs w:val="26"/>
              </w:rPr>
              <w:t xml:space="preserve"> 1 рівн</w:t>
            </w:r>
            <w:r w:rsidR="009544D0" w:rsidRPr="00CA552A">
              <w:rPr>
                <w:color w:val="000000"/>
                <w:sz w:val="26"/>
                <w:szCs w:val="26"/>
              </w:rPr>
              <w:t>я</w:t>
            </w:r>
            <w:r w:rsidR="00340299" w:rsidRPr="00CA55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40299" w:rsidRPr="00CA552A">
              <w:rPr>
                <w:color w:val="000000"/>
                <w:sz w:val="26"/>
                <w:szCs w:val="26"/>
              </w:rPr>
              <w:t>екодизайну</w:t>
            </w:r>
            <w:proofErr w:type="spellEnd"/>
            <w:r w:rsidR="00545D28" w:rsidRPr="00CA552A">
              <w:rPr>
                <w:color w:val="000000"/>
                <w:sz w:val="26"/>
                <w:szCs w:val="26"/>
              </w:rPr>
              <w:t xml:space="preserve"> </w:t>
            </w:r>
            <w:r w:rsidR="00340299" w:rsidRPr="00CA552A">
              <w:rPr>
                <w:color w:val="000000"/>
                <w:sz w:val="26"/>
                <w:szCs w:val="26"/>
              </w:rPr>
              <w:t>Технічного регламенту</w:t>
            </w:r>
            <w:r w:rsidR="00EC04A6" w:rsidRPr="00CA552A">
              <w:rPr>
                <w:color w:val="000000"/>
                <w:sz w:val="26"/>
                <w:szCs w:val="26"/>
              </w:rPr>
              <w:t>, що в свою чергу дозволить забезпечити підприємства енергетичного комплексу України силовими трансформаторами</w:t>
            </w:r>
          </w:p>
        </w:tc>
      </w:tr>
      <w:tr w:rsidR="00EC04A6" w:rsidRPr="00CA552A" w14:paraId="790940AF" w14:textId="77777777" w:rsidTr="00EC04A6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0AE3B" w14:textId="2CCC7F53" w:rsidR="00236854" w:rsidRPr="00CA552A" w:rsidRDefault="00340299" w:rsidP="00290F40">
            <w:pPr>
              <w:ind w:left="42" w:right="63" w:firstLine="227"/>
              <w:jc w:val="both"/>
              <w:rPr>
                <w:sz w:val="26"/>
                <w:szCs w:val="26"/>
                <w:lang w:eastAsia="en-US"/>
              </w:rPr>
            </w:pPr>
            <w:r w:rsidRPr="00CA552A">
              <w:rPr>
                <w:sz w:val="26"/>
                <w:szCs w:val="26"/>
              </w:rPr>
              <w:t>Споживачі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8BB84" w14:textId="7CABB6D8" w:rsidR="00236854" w:rsidRPr="00CA552A" w:rsidRDefault="00726BD7" w:rsidP="002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42" w:right="63" w:firstLine="227"/>
              <w:jc w:val="both"/>
              <w:rPr>
                <w:sz w:val="26"/>
                <w:szCs w:val="26"/>
                <w:lang w:eastAsia="en-US"/>
              </w:rPr>
            </w:pPr>
            <w:r w:rsidRPr="00CA552A">
              <w:rPr>
                <w:color w:val="000000"/>
                <w:sz w:val="26"/>
                <w:szCs w:val="26"/>
              </w:rPr>
              <w:t>Забезпечення стабільного постачання електричної енергії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E85A1" w14:textId="30F14898" w:rsidR="00916EFE" w:rsidRPr="00CA552A" w:rsidRDefault="00207223" w:rsidP="00290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42" w:right="63" w:firstLine="227"/>
              <w:jc w:val="both"/>
              <w:rPr>
                <w:color w:val="000000"/>
                <w:sz w:val="26"/>
                <w:szCs w:val="26"/>
              </w:rPr>
            </w:pPr>
            <w:r w:rsidRPr="00CA552A">
              <w:rPr>
                <w:color w:val="000000"/>
                <w:sz w:val="26"/>
                <w:szCs w:val="26"/>
              </w:rPr>
              <w:t xml:space="preserve">Прийняття </w:t>
            </w:r>
            <w:proofErr w:type="spellStart"/>
            <w:r w:rsidRPr="00CA552A">
              <w:rPr>
                <w:color w:val="000000"/>
                <w:sz w:val="26"/>
                <w:szCs w:val="26"/>
              </w:rPr>
              <w:t>акта</w:t>
            </w:r>
            <w:proofErr w:type="spellEnd"/>
            <w:r w:rsidRPr="00CA552A">
              <w:rPr>
                <w:color w:val="000000"/>
                <w:sz w:val="26"/>
                <w:szCs w:val="26"/>
              </w:rPr>
              <w:t xml:space="preserve"> </w:t>
            </w:r>
            <w:r w:rsidR="00726BD7" w:rsidRPr="00CA552A">
              <w:rPr>
                <w:color w:val="000000"/>
                <w:sz w:val="26"/>
                <w:szCs w:val="26"/>
              </w:rPr>
              <w:t>дозволить забезпечити стабільне постачання електричної енергії споживачам</w:t>
            </w:r>
          </w:p>
        </w:tc>
      </w:tr>
    </w:tbl>
    <w:p w14:paraId="4A77D06A" w14:textId="5EB6B61A" w:rsidR="00F96C0E" w:rsidRPr="00CA552A" w:rsidRDefault="00F96C0E" w:rsidP="00E2785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14:paraId="718358C8" w14:textId="77777777" w:rsidR="00F96C0E" w:rsidRPr="00CA552A" w:rsidRDefault="00F96C0E" w:rsidP="00E2785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14:paraId="56F1EE89" w14:textId="77777777" w:rsidR="00F96C0E" w:rsidRPr="00CA552A" w:rsidRDefault="00F96C0E" w:rsidP="00E27857">
      <w:pPr>
        <w:shd w:val="clear" w:color="auto" w:fill="FFFFFF"/>
        <w:tabs>
          <w:tab w:val="left" w:pos="142"/>
        </w:tabs>
        <w:rPr>
          <w:b/>
          <w:sz w:val="28"/>
          <w:szCs w:val="28"/>
        </w:rPr>
      </w:pPr>
    </w:p>
    <w:p w14:paraId="121A0159" w14:textId="4716E793" w:rsidR="00D304A9" w:rsidRDefault="00C94811" w:rsidP="00DF73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F731D" w:rsidRPr="00261F62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</w:p>
    <w:p w14:paraId="26350F9F" w14:textId="40EC4187" w:rsidR="00DF731D" w:rsidRPr="002C5782" w:rsidRDefault="00D304A9" w:rsidP="00DF731D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Держенергоефективності</w:t>
      </w:r>
      <w:proofErr w:type="spellEnd"/>
      <w:r w:rsidR="00DF731D">
        <w:rPr>
          <w:b/>
          <w:sz w:val="28"/>
          <w:szCs w:val="28"/>
        </w:rPr>
        <w:tab/>
      </w:r>
      <w:r w:rsidR="00DF731D" w:rsidRPr="00261F62">
        <w:rPr>
          <w:b/>
          <w:sz w:val="28"/>
          <w:szCs w:val="28"/>
        </w:rPr>
        <w:tab/>
      </w:r>
      <w:r w:rsidR="00DF731D" w:rsidRPr="00261F62">
        <w:rPr>
          <w:b/>
          <w:sz w:val="28"/>
          <w:szCs w:val="28"/>
        </w:rPr>
        <w:tab/>
      </w:r>
      <w:r w:rsidR="00C94811">
        <w:rPr>
          <w:b/>
          <w:sz w:val="28"/>
          <w:szCs w:val="28"/>
        </w:rPr>
        <w:tab/>
      </w:r>
      <w:r w:rsidR="00C94811">
        <w:rPr>
          <w:b/>
          <w:sz w:val="28"/>
          <w:szCs w:val="28"/>
        </w:rPr>
        <w:tab/>
        <w:t xml:space="preserve">         Ганна ЗАМАЗЄЄВА</w:t>
      </w:r>
    </w:p>
    <w:p w14:paraId="4070BBEB" w14:textId="77777777" w:rsidR="00C1140E" w:rsidRPr="00CA552A" w:rsidRDefault="00C1140E" w:rsidP="00E27857">
      <w:pPr>
        <w:shd w:val="clear" w:color="auto" w:fill="FFFFFF"/>
        <w:ind w:firstLine="709"/>
        <w:rPr>
          <w:b/>
          <w:sz w:val="28"/>
          <w:szCs w:val="28"/>
        </w:rPr>
      </w:pPr>
    </w:p>
    <w:p w14:paraId="4BFD826C" w14:textId="77777777" w:rsidR="00536C3F" w:rsidRPr="00CA552A" w:rsidRDefault="00536C3F" w:rsidP="00E27857">
      <w:pPr>
        <w:shd w:val="clear" w:color="auto" w:fill="FFFFFF"/>
        <w:ind w:firstLine="709"/>
        <w:rPr>
          <w:b/>
          <w:sz w:val="28"/>
          <w:szCs w:val="28"/>
        </w:rPr>
      </w:pPr>
    </w:p>
    <w:p w14:paraId="3FE5F80B" w14:textId="42B7572D" w:rsidR="00C1140E" w:rsidRPr="00390506" w:rsidRDefault="007A3773" w:rsidP="00E27857">
      <w:pPr>
        <w:shd w:val="clear" w:color="auto" w:fill="FFFFFF"/>
        <w:rPr>
          <w:b/>
          <w:sz w:val="28"/>
          <w:szCs w:val="28"/>
        </w:rPr>
      </w:pPr>
      <w:r w:rsidRPr="00CA552A">
        <w:rPr>
          <w:b/>
          <w:sz w:val="28"/>
          <w:szCs w:val="28"/>
        </w:rPr>
        <w:t>«____» __</w:t>
      </w:r>
      <w:r w:rsidR="00C1140E" w:rsidRPr="00CA552A">
        <w:rPr>
          <w:b/>
          <w:sz w:val="28"/>
          <w:szCs w:val="28"/>
        </w:rPr>
        <w:t>___________ 2023 року</w:t>
      </w:r>
    </w:p>
    <w:p w14:paraId="02967128" w14:textId="2AE7DB09" w:rsidR="003D5696" w:rsidRPr="00390506" w:rsidRDefault="003D5696" w:rsidP="00E27857">
      <w:pPr>
        <w:shd w:val="clear" w:color="auto" w:fill="FFFFFF"/>
        <w:tabs>
          <w:tab w:val="left" w:pos="142"/>
        </w:tabs>
        <w:rPr>
          <w:sz w:val="28"/>
          <w:szCs w:val="28"/>
        </w:rPr>
      </w:pPr>
    </w:p>
    <w:sectPr w:rsidR="003D5696" w:rsidRPr="00390506" w:rsidSect="006E3687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DAC0" w14:textId="77777777" w:rsidR="00DC4AB9" w:rsidRDefault="00DC4AB9">
      <w:r>
        <w:separator/>
      </w:r>
    </w:p>
  </w:endnote>
  <w:endnote w:type="continuationSeparator" w:id="0">
    <w:p w14:paraId="3CCCF2B9" w14:textId="77777777" w:rsidR="00DC4AB9" w:rsidRDefault="00DC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CC285" w14:textId="77777777" w:rsidR="00DC4AB9" w:rsidRDefault="00DC4AB9">
      <w:r>
        <w:separator/>
      </w:r>
    </w:p>
  </w:footnote>
  <w:footnote w:type="continuationSeparator" w:id="0">
    <w:p w14:paraId="30C8AA30" w14:textId="77777777" w:rsidR="00DC4AB9" w:rsidRDefault="00DC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CA2BC" w14:textId="77777777" w:rsidR="00764252" w:rsidRDefault="0044666E" w:rsidP="0076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34F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1BE1A2" w14:textId="77777777" w:rsidR="00764252" w:rsidRDefault="007642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62126"/>
      <w:docPartObj>
        <w:docPartGallery w:val="Page Numbers (Top of Page)"/>
        <w:docPartUnique/>
      </w:docPartObj>
    </w:sdtPr>
    <w:sdtEndPr/>
    <w:sdtContent>
      <w:p w14:paraId="5A4C078A" w14:textId="40EC98EE" w:rsidR="000B795B" w:rsidRDefault="0044666E" w:rsidP="000B795B">
        <w:pPr>
          <w:pStyle w:val="a3"/>
          <w:jc w:val="center"/>
        </w:pPr>
        <w:r>
          <w:fldChar w:fldCharType="begin"/>
        </w:r>
        <w:r w:rsidR="00373970">
          <w:instrText>PAGE   \* MERGEFORMAT</w:instrText>
        </w:r>
        <w:r>
          <w:fldChar w:fldCharType="separate"/>
        </w:r>
        <w:r w:rsidR="00991C0D" w:rsidRPr="00991C0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CD6D" w14:textId="77777777" w:rsidR="008225A0" w:rsidRDefault="008225A0">
    <w:pPr>
      <w:pStyle w:val="a3"/>
      <w:jc w:val="center"/>
    </w:pPr>
  </w:p>
  <w:p w14:paraId="79C2AEF4" w14:textId="77777777" w:rsidR="008225A0" w:rsidRDefault="008225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837"/>
    <w:multiLevelType w:val="hybridMultilevel"/>
    <w:tmpl w:val="C058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03290"/>
    <w:multiLevelType w:val="hybridMultilevel"/>
    <w:tmpl w:val="DCC07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4C0C25C4"/>
    <w:multiLevelType w:val="hybridMultilevel"/>
    <w:tmpl w:val="FDAC5F1E"/>
    <w:lvl w:ilvl="0" w:tplc="80D02F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D51D0"/>
    <w:multiLevelType w:val="hybridMultilevel"/>
    <w:tmpl w:val="E24AB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46C00"/>
    <w:multiLevelType w:val="hybridMultilevel"/>
    <w:tmpl w:val="AE8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AB"/>
    <w:rsid w:val="00004006"/>
    <w:rsid w:val="000052D1"/>
    <w:rsid w:val="00013ECD"/>
    <w:rsid w:val="0001441D"/>
    <w:rsid w:val="00015BF5"/>
    <w:rsid w:val="0001601C"/>
    <w:rsid w:val="000166AD"/>
    <w:rsid w:val="00021D00"/>
    <w:rsid w:val="000224B7"/>
    <w:rsid w:val="00036F05"/>
    <w:rsid w:val="00047323"/>
    <w:rsid w:val="000519FB"/>
    <w:rsid w:val="0006439D"/>
    <w:rsid w:val="000667B1"/>
    <w:rsid w:val="00066A27"/>
    <w:rsid w:val="00076956"/>
    <w:rsid w:val="000805B3"/>
    <w:rsid w:val="000836D1"/>
    <w:rsid w:val="000959A6"/>
    <w:rsid w:val="000B2D28"/>
    <w:rsid w:val="000B795B"/>
    <w:rsid w:val="000E0A75"/>
    <w:rsid w:val="000E4E2A"/>
    <w:rsid w:val="000E7DB3"/>
    <w:rsid w:val="000F337F"/>
    <w:rsid w:val="00105538"/>
    <w:rsid w:val="001107AB"/>
    <w:rsid w:val="001111BD"/>
    <w:rsid w:val="00120DB5"/>
    <w:rsid w:val="00133630"/>
    <w:rsid w:val="0014517E"/>
    <w:rsid w:val="0015799E"/>
    <w:rsid w:val="00164C2C"/>
    <w:rsid w:val="00166766"/>
    <w:rsid w:val="00175041"/>
    <w:rsid w:val="0017530C"/>
    <w:rsid w:val="00176801"/>
    <w:rsid w:val="00197FAB"/>
    <w:rsid w:val="001A613E"/>
    <w:rsid w:val="001C2AAC"/>
    <w:rsid w:val="001D1089"/>
    <w:rsid w:val="001D1C0D"/>
    <w:rsid w:val="001D3C34"/>
    <w:rsid w:val="001E17DB"/>
    <w:rsid w:val="001E2072"/>
    <w:rsid w:val="001E3679"/>
    <w:rsid w:val="001F5159"/>
    <w:rsid w:val="0020283C"/>
    <w:rsid w:val="00207223"/>
    <w:rsid w:val="0021217F"/>
    <w:rsid w:val="00213F6B"/>
    <w:rsid w:val="00215681"/>
    <w:rsid w:val="00236854"/>
    <w:rsid w:val="00257491"/>
    <w:rsid w:val="002675AC"/>
    <w:rsid w:val="00286689"/>
    <w:rsid w:val="00290F40"/>
    <w:rsid w:val="002A575A"/>
    <w:rsid w:val="002B73A0"/>
    <w:rsid w:val="002B75E3"/>
    <w:rsid w:val="002C27D7"/>
    <w:rsid w:val="002C5782"/>
    <w:rsid w:val="002C7749"/>
    <w:rsid w:val="002D0792"/>
    <w:rsid w:val="002D0A1F"/>
    <w:rsid w:val="002D1854"/>
    <w:rsid w:val="002E1565"/>
    <w:rsid w:val="00304823"/>
    <w:rsid w:val="00306B9E"/>
    <w:rsid w:val="003127B6"/>
    <w:rsid w:val="00330C71"/>
    <w:rsid w:val="003321C4"/>
    <w:rsid w:val="00340299"/>
    <w:rsid w:val="00351F12"/>
    <w:rsid w:val="00352359"/>
    <w:rsid w:val="003721A1"/>
    <w:rsid w:val="00373970"/>
    <w:rsid w:val="00390506"/>
    <w:rsid w:val="003A01D6"/>
    <w:rsid w:val="003A0AF5"/>
    <w:rsid w:val="003B1AEE"/>
    <w:rsid w:val="003C6C0D"/>
    <w:rsid w:val="003D00E5"/>
    <w:rsid w:val="003D0587"/>
    <w:rsid w:val="003D1F08"/>
    <w:rsid w:val="003D34F0"/>
    <w:rsid w:val="003D5696"/>
    <w:rsid w:val="00400B9B"/>
    <w:rsid w:val="00412359"/>
    <w:rsid w:val="00412547"/>
    <w:rsid w:val="00413059"/>
    <w:rsid w:val="00423BBC"/>
    <w:rsid w:val="004325B1"/>
    <w:rsid w:val="00432D8C"/>
    <w:rsid w:val="0044666E"/>
    <w:rsid w:val="004773B3"/>
    <w:rsid w:val="00497669"/>
    <w:rsid w:val="004A30F3"/>
    <w:rsid w:val="004A4DC7"/>
    <w:rsid w:val="004A5057"/>
    <w:rsid w:val="004B1C7F"/>
    <w:rsid w:val="004B448A"/>
    <w:rsid w:val="004B62BF"/>
    <w:rsid w:val="004C02FF"/>
    <w:rsid w:val="004C1E5A"/>
    <w:rsid w:val="004D1990"/>
    <w:rsid w:val="004D59AE"/>
    <w:rsid w:val="004D738A"/>
    <w:rsid w:val="004E7BB6"/>
    <w:rsid w:val="004F0FFD"/>
    <w:rsid w:val="004F1C4D"/>
    <w:rsid w:val="004F311B"/>
    <w:rsid w:val="004F500C"/>
    <w:rsid w:val="004F58AA"/>
    <w:rsid w:val="00505181"/>
    <w:rsid w:val="00515D2D"/>
    <w:rsid w:val="0052147A"/>
    <w:rsid w:val="0052584D"/>
    <w:rsid w:val="00536B79"/>
    <w:rsid w:val="00536C3F"/>
    <w:rsid w:val="00542AB1"/>
    <w:rsid w:val="00545D28"/>
    <w:rsid w:val="005561A6"/>
    <w:rsid w:val="00560391"/>
    <w:rsid w:val="005609B5"/>
    <w:rsid w:val="005622E9"/>
    <w:rsid w:val="00571877"/>
    <w:rsid w:val="0058457D"/>
    <w:rsid w:val="00590EE5"/>
    <w:rsid w:val="005A2935"/>
    <w:rsid w:val="005B17AD"/>
    <w:rsid w:val="005B6477"/>
    <w:rsid w:val="005B787F"/>
    <w:rsid w:val="005C148D"/>
    <w:rsid w:val="005C58EC"/>
    <w:rsid w:val="005C737D"/>
    <w:rsid w:val="005E47EE"/>
    <w:rsid w:val="005F2AB3"/>
    <w:rsid w:val="005F58FB"/>
    <w:rsid w:val="00614C70"/>
    <w:rsid w:val="00617CB0"/>
    <w:rsid w:val="0062655D"/>
    <w:rsid w:val="0063419D"/>
    <w:rsid w:val="00634DA1"/>
    <w:rsid w:val="00644AC9"/>
    <w:rsid w:val="0065415F"/>
    <w:rsid w:val="006544C2"/>
    <w:rsid w:val="00660EDF"/>
    <w:rsid w:val="00667055"/>
    <w:rsid w:val="006678AB"/>
    <w:rsid w:val="006727B6"/>
    <w:rsid w:val="0067401C"/>
    <w:rsid w:val="00683324"/>
    <w:rsid w:val="006A54B0"/>
    <w:rsid w:val="006B1849"/>
    <w:rsid w:val="006C370D"/>
    <w:rsid w:val="006D09B8"/>
    <w:rsid w:val="006D1AF2"/>
    <w:rsid w:val="006D39EA"/>
    <w:rsid w:val="006D45F6"/>
    <w:rsid w:val="006D75B3"/>
    <w:rsid w:val="006D7846"/>
    <w:rsid w:val="006E3687"/>
    <w:rsid w:val="006F6E44"/>
    <w:rsid w:val="00705F55"/>
    <w:rsid w:val="007112F1"/>
    <w:rsid w:val="007133DF"/>
    <w:rsid w:val="00722838"/>
    <w:rsid w:val="00724ED6"/>
    <w:rsid w:val="00726BD7"/>
    <w:rsid w:val="00740052"/>
    <w:rsid w:val="00743147"/>
    <w:rsid w:val="00754B44"/>
    <w:rsid w:val="0075685A"/>
    <w:rsid w:val="00764252"/>
    <w:rsid w:val="007822DA"/>
    <w:rsid w:val="0078760F"/>
    <w:rsid w:val="007A1142"/>
    <w:rsid w:val="007A3773"/>
    <w:rsid w:val="007A3F3D"/>
    <w:rsid w:val="007A53A2"/>
    <w:rsid w:val="007A616C"/>
    <w:rsid w:val="007C2F2D"/>
    <w:rsid w:val="007E1389"/>
    <w:rsid w:val="007F09FE"/>
    <w:rsid w:val="007F7002"/>
    <w:rsid w:val="007F73D6"/>
    <w:rsid w:val="008201DD"/>
    <w:rsid w:val="008225A0"/>
    <w:rsid w:val="00824C17"/>
    <w:rsid w:val="00841EDA"/>
    <w:rsid w:val="00863918"/>
    <w:rsid w:val="00875EC4"/>
    <w:rsid w:val="00881F9C"/>
    <w:rsid w:val="00883B5F"/>
    <w:rsid w:val="008861F3"/>
    <w:rsid w:val="0088760F"/>
    <w:rsid w:val="008924FC"/>
    <w:rsid w:val="008A07B3"/>
    <w:rsid w:val="008A1FBB"/>
    <w:rsid w:val="008A6BA6"/>
    <w:rsid w:val="008B2F01"/>
    <w:rsid w:val="008D1331"/>
    <w:rsid w:val="008D735E"/>
    <w:rsid w:val="008E3EBA"/>
    <w:rsid w:val="008F02E1"/>
    <w:rsid w:val="008F0E12"/>
    <w:rsid w:val="008F1ECE"/>
    <w:rsid w:val="008F7540"/>
    <w:rsid w:val="009012EA"/>
    <w:rsid w:val="0090326F"/>
    <w:rsid w:val="00912A66"/>
    <w:rsid w:val="009162D3"/>
    <w:rsid w:val="00916B13"/>
    <w:rsid w:val="00916EFE"/>
    <w:rsid w:val="0092274A"/>
    <w:rsid w:val="00925410"/>
    <w:rsid w:val="00926410"/>
    <w:rsid w:val="00927E1B"/>
    <w:rsid w:val="009357A0"/>
    <w:rsid w:val="009410E3"/>
    <w:rsid w:val="00946597"/>
    <w:rsid w:val="009467C7"/>
    <w:rsid w:val="009474F6"/>
    <w:rsid w:val="009544D0"/>
    <w:rsid w:val="00956CF2"/>
    <w:rsid w:val="00973F80"/>
    <w:rsid w:val="00991C0D"/>
    <w:rsid w:val="009935A3"/>
    <w:rsid w:val="009A05AD"/>
    <w:rsid w:val="009A3E3D"/>
    <w:rsid w:val="009A4628"/>
    <w:rsid w:val="009D08E7"/>
    <w:rsid w:val="009D3224"/>
    <w:rsid w:val="009D6F56"/>
    <w:rsid w:val="009E1D01"/>
    <w:rsid w:val="00A00354"/>
    <w:rsid w:val="00A009CC"/>
    <w:rsid w:val="00A0133F"/>
    <w:rsid w:val="00A03989"/>
    <w:rsid w:val="00A06601"/>
    <w:rsid w:val="00A17A45"/>
    <w:rsid w:val="00A17D04"/>
    <w:rsid w:val="00A22C8F"/>
    <w:rsid w:val="00A31FB2"/>
    <w:rsid w:val="00A33EFC"/>
    <w:rsid w:val="00A45998"/>
    <w:rsid w:val="00A6694C"/>
    <w:rsid w:val="00A71B7A"/>
    <w:rsid w:val="00A80BC4"/>
    <w:rsid w:val="00A81926"/>
    <w:rsid w:val="00A82199"/>
    <w:rsid w:val="00A8287E"/>
    <w:rsid w:val="00A83C0F"/>
    <w:rsid w:val="00A93554"/>
    <w:rsid w:val="00AB3772"/>
    <w:rsid w:val="00AC1947"/>
    <w:rsid w:val="00AC302B"/>
    <w:rsid w:val="00AD2050"/>
    <w:rsid w:val="00AD73D2"/>
    <w:rsid w:val="00AE1E47"/>
    <w:rsid w:val="00B00A6A"/>
    <w:rsid w:val="00B0678E"/>
    <w:rsid w:val="00B06E5C"/>
    <w:rsid w:val="00B07FB8"/>
    <w:rsid w:val="00B13B35"/>
    <w:rsid w:val="00B1653B"/>
    <w:rsid w:val="00B200BA"/>
    <w:rsid w:val="00B23675"/>
    <w:rsid w:val="00B47912"/>
    <w:rsid w:val="00B5230E"/>
    <w:rsid w:val="00B57CD4"/>
    <w:rsid w:val="00B6200E"/>
    <w:rsid w:val="00B838CE"/>
    <w:rsid w:val="00B84CB1"/>
    <w:rsid w:val="00B850C2"/>
    <w:rsid w:val="00B91287"/>
    <w:rsid w:val="00B96FFD"/>
    <w:rsid w:val="00BA5BE4"/>
    <w:rsid w:val="00BA79D1"/>
    <w:rsid w:val="00BC5F27"/>
    <w:rsid w:val="00BD22C4"/>
    <w:rsid w:val="00BE1075"/>
    <w:rsid w:val="00BE4184"/>
    <w:rsid w:val="00C0041C"/>
    <w:rsid w:val="00C02FBF"/>
    <w:rsid w:val="00C1140E"/>
    <w:rsid w:val="00C12058"/>
    <w:rsid w:val="00C1593F"/>
    <w:rsid w:val="00C20918"/>
    <w:rsid w:val="00C33224"/>
    <w:rsid w:val="00C34C96"/>
    <w:rsid w:val="00C34E48"/>
    <w:rsid w:val="00C47C93"/>
    <w:rsid w:val="00C55CF8"/>
    <w:rsid w:val="00C6445B"/>
    <w:rsid w:val="00C66F8C"/>
    <w:rsid w:val="00C702F3"/>
    <w:rsid w:val="00C76585"/>
    <w:rsid w:val="00C8081E"/>
    <w:rsid w:val="00C94811"/>
    <w:rsid w:val="00C97B9C"/>
    <w:rsid w:val="00CA22EA"/>
    <w:rsid w:val="00CA454B"/>
    <w:rsid w:val="00CA552A"/>
    <w:rsid w:val="00CA7FB6"/>
    <w:rsid w:val="00CB5A49"/>
    <w:rsid w:val="00CD2B6F"/>
    <w:rsid w:val="00CF0201"/>
    <w:rsid w:val="00CF1CDC"/>
    <w:rsid w:val="00CF402D"/>
    <w:rsid w:val="00D0642D"/>
    <w:rsid w:val="00D25899"/>
    <w:rsid w:val="00D304A9"/>
    <w:rsid w:val="00D32329"/>
    <w:rsid w:val="00D34A18"/>
    <w:rsid w:val="00D5448D"/>
    <w:rsid w:val="00D62E1D"/>
    <w:rsid w:val="00D7588D"/>
    <w:rsid w:val="00D950DF"/>
    <w:rsid w:val="00DA1365"/>
    <w:rsid w:val="00DA7A1B"/>
    <w:rsid w:val="00DB425A"/>
    <w:rsid w:val="00DB59DE"/>
    <w:rsid w:val="00DB6469"/>
    <w:rsid w:val="00DC1B06"/>
    <w:rsid w:val="00DC4AB9"/>
    <w:rsid w:val="00DF731D"/>
    <w:rsid w:val="00E01247"/>
    <w:rsid w:val="00E1586D"/>
    <w:rsid w:val="00E27857"/>
    <w:rsid w:val="00E37B8D"/>
    <w:rsid w:val="00E63F44"/>
    <w:rsid w:val="00E6671B"/>
    <w:rsid w:val="00E8617A"/>
    <w:rsid w:val="00EA6449"/>
    <w:rsid w:val="00EC04A6"/>
    <w:rsid w:val="00EC2A1D"/>
    <w:rsid w:val="00EC7FF7"/>
    <w:rsid w:val="00EF392D"/>
    <w:rsid w:val="00EF73B9"/>
    <w:rsid w:val="00F1110C"/>
    <w:rsid w:val="00F11DAB"/>
    <w:rsid w:val="00F20851"/>
    <w:rsid w:val="00F22464"/>
    <w:rsid w:val="00F24EB8"/>
    <w:rsid w:val="00F376CE"/>
    <w:rsid w:val="00F46ACF"/>
    <w:rsid w:val="00F55FB0"/>
    <w:rsid w:val="00F57CAD"/>
    <w:rsid w:val="00F61922"/>
    <w:rsid w:val="00F71028"/>
    <w:rsid w:val="00F847B6"/>
    <w:rsid w:val="00F85188"/>
    <w:rsid w:val="00F96C0E"/>
    <w:rsid w:val="00FA43DE"/>
    <w:rsid w:val="00FA6819"/>
    <w:rsid w:val="00FA7311"/>
    <w:rsid w:val="00FB45CA"/>
    <w:rsid w:val="00FD06E6"/>
    <w:rsid w:val="00FD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7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uiPriority w:val="99"/>
    <w:rsid w:val="006B184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d">
    <w:name w:val="Body Text Indent"/>
    <w:basedOn w:val="a"/>
    <w:link w:val="ae"/>
    <w:rsid w:val="00330C71"/>
    <w:pPr>
      <w:ind w:right="-128" w:firstLine="54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330C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C1">
    <w:name w:val="Cетка таблицы (светлая)1"/>
    <w:basedOn w:val="a1"/>
    <w:uiPriority w:val="40"/>
    <w:rsid w:val="00C0041C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vts23">
    <w:name w:val="rvts23"/>
    <w:basedOn w:val="a0"/>
    <w:rsid w:val="005C737D"/>
  </w:style>
  <w:style w:type="paragraph" w:customStyle="1" w:styleId="rvps12">
    <w:name w:val="rvps1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apple-converted-space">
    <w:name w:val="apple-converted-space"/>
    <w:basedOn w:val="a0"/>
    <w:rsid w:val="003B1AEE"/>
  </w:style>
  <w:style w:type="character" w:customStyle="1" w:styleId="rvts15">
    <w:name w:val="rvts15"/>
    <w:basedOn w:val="a0"/>
    <w:rsid w:val="003B1AEE"/>
  </w:style>
  <w:style w:type="character" w:customStyle="1" w:styleId="rvts82">
    <w:name w:val="rvts82"/>
    <w:basedOn w:val="a0"/>
    <w:rsid w:val="003B1AEE"/>
  </w:style>
  <w:style w:type="paragraph" w:customStyle="1" w:styleId="rvps2">
    <w:name w:val="rvps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paragraph" w:customStyle="1" w:styleId="rvps1">
    <w:name w:val="rvps1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1">
    <w:name w:val="rvts11"/>
    <w:basedOn w:val="a0"/>
    <w:rsid w:val="003B1AEE"/>
  </w:style>
  <w:style w:type="paragraph" w:customStyle="1" w:styleId="rvps8">
    <w:name w:val="rvps8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3">
    <w:name w:val="rvts13"/>
    <w:basedOn w:val="a0"/>
    <w:rsid w:val="008E3EBA"/>
  </w:style>
  <w:style w:type="paragraph" w:customStyle="1" w:styleId="af">
    <w:name w:val="Назва документа"/>
    <w:basedOn w:val="a"/>
    <w:next w:val="ac"/>
    <w:uiPriority w:val="99"/>
    <w:rsid w:val="006D09B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78A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8A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6678AB"/>
  </w:style>
  <w:style w:type="character" w:styleId="a6">
    <w:name w:val="Hyperlink"/>
    <w:rsid w:val="006678A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667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9">
    <w:name w:val="rvts9"/>
    <w:basedOn w:val="a0"/>
    <w:rsid w:val="006678AB"/>
  </w:style>
  <w:style w:type="character" w:customStyle="1" w:styleId="rvts37">
    <w:name w:val="rvts37"/>
    <w:basedOn w:val="a0"/>
    <w:rsid w:val="006678AB"/>
  </w:style>
  <w:style w:type="paragraph" w:styleId="a8">
    <w:name w:val="Balloon Text"/>
    <w:basedOn w:val="a"/>
    <w:link w:val="a9"/>
    <w:uiPriority w:val="99"/>
    <w:semiHidden/>
    <w:unhideWhenUsed/>
    <w:rsid w:val="00916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B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60E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ED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uiPriority w:val="99"/>
    <w:rsid w:val="006B1849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styleId="ad">
    <w:name w:val="Body Text Indent"/>
    <w:basedOn w:val="a"/>
    <w:link w:val="ae"/>
    <w:rsid w:val="00330C71"/>
    <w:pPr>
      <w:ind w:right="-128" w:firstLine="54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330C7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C1">
    <w:name w:val="Cетка таблицы (светлая)1"/>
    <w:basedOn w:val="a1"/>
    <w:uiPriority w:val="40"/>
    <w:rsid w:val="00C0041C"/>
    <w:pPr>
      <w:spacing w:after="0" w:line="240" w:lineRule="auto"/>
    </w:pPr>
    <w:rPr>
      <w:lang w:val="uk-U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vts23">
    <w:name w:val="rvts23"/>
    <w:basedOn w:val="a0"/>
    <w:rsid w:val="005C737D"/>
  </w:style>
  <w:style w:type="paragraph" w:customStyle="1" w:styleId="rvps12">
    <w:name w:val="rvps1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apple-converted-space">
    <w:name w:val="apple-converted-space"/>
    <w:basedOn w:val="a0"/>
    <w:rsid w:val="003B1AEE"/>
  </w:style>
  <w:style w:type="character" w:customStyle="1" w:styleId="rvts15">
    <w:name w:val="rvts15"/>
    <w:basedOn w:val="a0"/>
    <w:rsid w:val="003B1AEE"/>
  </w:style>
  <w:style w:type="character" w:customStyle="1" w:styleId="rvts82">
    <w:name w:val="rvts82"/>
    <w:basedOn w:val="a0"/>
    <w:rsid w:val="003B1AEE"/>
  </w:style>
  <w:style w:type="paragraph" w:customStyle="1" w:styleId="rvps2">
    <w:name w:val="rvps2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paragraph" w:customStyle="1" w:styleId="rvps1">
    <w:name w:val="rvps1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1">
    <w:name w:val="rvts11"/>
    <w:basedOn w:val="a0"/>
    <w:rsid w:val="003B1AEE"/>
  </w:style>
  <w:style w:type="paragraph" w:customStyle="1" w:styleId="rvps8">
    <w:name w:val="rvps8"/>
    <w:basedOn w:val="a"/>
    <w:rsid w:val="003B1AEE"/>
    <w:pPr>
      <w:spacing w:before="100" w:beforeAutospacing="1" w:after="100" w:afterAutospacing="1"/>
    </w:pPr>
    <w:rPr>
      <w:rFonts w:eastAsiaTheme="minorHAnsi"/>
      <w:lang w:val="ru-RU"/>
    </w:rPr>
  </w:style>
  <w:style w:type="character" w:customStyle="1" w:styleId="rvts13">
    <w:name w:val="rvts13"/>
    <w:basedOn w:val="a0"/>
    <w:rsid w:val="008E3EBA"/>
  </w:style>
  <w:style w:type="paragraph" w:customStyle="1" w:styleId="af">
    <w:name w:val="Назва документа"/>
    <w:basedOn w:val="a"/>
    <w:next w:val="ac"/>
    <w:uiPriority w:val="99"/>
    <w:rsid w:val="006D09B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BBAB-46D4-45BC-A9DC-CC813D51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Столяр Ольга</cp:lastModifiedBy>
  <cp:revision>10</cp:revision>
  <cp:lastPrinted>2023-04-26T12:42:00Z</cp:lastPrinted>
  <dcterms:created xsi:type="dcterms:W3CDTF">2023-06-12T06:22:00Z</dcterms:created>
  <dcterms:modified xsi:type="dcterms:W3CDTF">2023-06-13T12:31:00Z</dcterms:modified>
</cp:coreProperties>
</file>