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2CE" w:rsidRPr="00DA662F" w:rsidRDefault="00CD7C88" w:rsidP="00CD7C88">
      <w:pPr>
        <w:tabs>
          <w:tab w:val="left" w:pos="851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Додаток 4</w:t>
      </w:r>
    </w:p>
    <w:p w:rsidR="000312CE" w:rsidRPr="00DA662F" w:rsidRDefault="00CD7C88" w:rsidP="00CD7C88">
      <w:pPr>
        <w:tabs>
          <w:tab w:val="left" w:pos="851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до Технічного регламенту</w:t>
      </w:r>
    </w:p>
    <w:p w:rsidR="000312CE" w:rsidRPr="00DA662F" w:rsidRDefault="000312CE">
      <w:pPr>
        <w:tabs>
          <w:tab w:val="left" w:pos="851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2B14" w:rsidRPr="00DA662F" w:rsidRDefault="009718A5" w:rsidP="00EC2429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b/>
          <w:sz w:val="28"/>
          <w:szCs w:val="28"/>
        </w:rPr>
        <w:t xml:space="preserve">Вимоги до перевірки під час здійснення державного </w:t>
      </w:r>
    </w:p>
    <w:p w:rsidR="000312CE" w:rsidRPr="00DA662F" w:rsidRDefault="009718A5" w:rsidP="00EC2429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b/>
          <w:sz w:val="28"/>
          <w:szCs w:val="28"/>
        </w:rPr>
        <w:t xml:space="preserve">ринкового нагляду </w:t>
      </w:r>
    </w:p>
    <w:p w:rsidR="00EC2429" w:rsidRPr="00DA662F" w:rsidRDefault="00EC2429" w:rsidP="00EC2429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312CE" w:rsidRPr="00DA662F" w:rsidRDefault="009718A5" w:rsidP="00DB0FD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1. Допустимі похибки, зазначені в цьому додатку, стосуються лише перевірки вимірюваних параметрів органами державного ринкового нагляду та не повинні використовуватися виробником</w:t>
      </w:r>
      <w:r w:rsidR="00B8480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імпортером </w:t>
      </w:r>
      <w:r w:rsidR="00B8480A" w:rsidRPr="00DA662F">
        <w:rPr>
          <w:rFonts w:ascii="Times New Roman" w:eastAsia="Times New Roman" w:hAnsi="Times New Roman" w:cs="Times New Roman"/>
          <w:sz w:val="28"/>
          <w:szCs w:val="28"/>
        </w:rPr>
        <w:t xml:space="preserve">або </w:t>
      </w:r>
      <w:r w:rsidR="00B8480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уповноваженим представником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як допустимі похибки для встановлення значень у технічній документації або при інтерпретації цих значень для досягнення відповідності або покращення значень продуктивності</w:t>
      </w:r>
      <w:r w:rsidR="00B8480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будь-який спосіб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9718A5" w:rsidP="00DB0FD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Якщо модель розроблена </w:t>
      </w:r>
      <w:r w:rsidR="00FF6FF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="001D105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перевірки</w:t>
      </w:r>
      <w:r w:rsidR="00FF6FF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635EE" w:rsidRPr="00DA662F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, щоб вона могла виявляти її </w:t>
      </w:r>
      <w:r w:rsidR="001D105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перевірку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(наприклад, шляхом розпізнавання умов </w:t>
      </w:r>
      <w:r w:rsidR="001D105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перевірки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або циклу </w:t>
      </w:r>
      <w:r w:rsidR="001D105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перевірок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) та специфічним чином </w:t>
      </w:r>
      <w:r w:rsidR="00817D1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може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реагувати, автоматично змінюючи свої характеристики під час </w:t>
      </w:r>
      <w:r w:rsidR="001D105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перевірки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з метою досягнення більш сприятливого рівня для будь-якого з параметрів, </w:t>
      </w:r>
      <w:r w:rsidR="001635EE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значених у Технічному регламенті</w:t>
      </w:r>
      <w:r w:rsidR="00477369" w:rsidRPr="00DA662F">
        <w:rPr>
          <w:rFonts w:ascii="Times New Roman" w:eastAsia="Times New Roman" w:hAnsi="Times New Roman" w:cs="Times New Roman"/>
          <w:sz w:val="28"/>
          <w:szCs w:val="28"/>
        </w:rPr>
        <w:t xml:space="preserve"> щодо вимог до </w:t>
      </w:r>
      <w:proofErr w:type="spellStart"/>
      <w:r w:rsidR="00477369" w:rsidRPr="00DA662F">
        <w:rPr>
          <w:rFonts w:ascii="Times New Roman" w:eastAsia="Times New Roman" w:hAnsi="Times New Roman" w:cs="Times New Roman"/>
          <w:sz w:val="28"/>
          <w:szCs w:val="28"/>
        </w:rPr>
        <w:t>екодизайну</w:t>
      </w:r>
      <w:proofErr w:type="spellEnd"/>
      <w:r w:rsidR="00477369" w:rsidRPr="00DA662F">
        <w:rPr>
          <w:rFonts w:ascii="Times New Roman" w:eastAsia="Times New Roman" w:hAnsi="Times New Roman" w:cs="Times New Roman"/>
          <w:sz w:val="28"/>
          <w:szCs w:val="28"/>
        </w:rPr>
        <w:t xml:space="preserve"> для  електронних дисплеїв (далі – Технічний регламент)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або включених до технічної документації або включених до будь-якої наданої документації, модель та всі еквівалентні моделі вважаються такими, що не відповідають вимогам</w:t>
      </w:r>
      <w:r w:rsidR="00817D1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17D14" w:rsidRPr="00DA662F">
        <w:rPr>
          <w:rFonts w:ascii="Times New Roman" w:hAnsi="Times New Roman" w:cs="Times New Roman"/>
          <w:sz w:val="28"/>
          <w:szCs w:val="28"/>
        </w:rPr>
        <w:t>Технічного регламенту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A66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312CE" w:rsidRPr="00DA662F" w:rsidRDefault="009718A5" w:rsidP="00DB0FD2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DA662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58456B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ід час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проведенн</w:t>
      </w:r>
      <w:proofErr w:type="spellEnd"/>
      <w:r w:rsidR="0058456B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05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перевірки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електронних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дисплеїв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вимогам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Технічного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регламенту, </w:t>
      </w:r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встановленим у пунктах 17 </w:t>
      </w:r>
      <w:r w:rsidR="003B4D77" w:rsidRPr="00DA662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 xml:space="preserve"> 20 Технічного регламенту щодо встановлення системи для визначення вимог з </w:t>
      </w:r>
      <w:proofErr w:type="spellStart"/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>екодизайну</w:t>
      </w:r>
      <w:proofErr w:type="spellEnd"/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>енергоспоживчих</w:t>
      </w:r>
      <w:proofErr w:type="spellEnd"/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 xml:space="preserve"> продуктів, затвердженого постановою Кабінету Міністрів України від 3 жовтня 2018 р. № 804 (Офіці</w:t>
      </w:r>
      <w:r w:rsidR="00B9154C" w:rsidRPr="00DA662F">
        <w:rPr>
          <w:rFonts w:ascii="Times New Roman" w:hAnsi="Times New Roman" w:cs="Times New Roman"/>
          <w:sz w:val="28"/>
          <w:szCs w:val="28"/>
          <w:lang w:val="uk-UA"/>
        </w:rPr>
        <w:t>йний вісник України, 2018 р., № </w:t>
      </w:r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>80, ст. 2678)</w:t>
      </w:r>
      <w:r w:rsidR="00B9154C" w:rsidRPr="00DA66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B64" w:rsidRPr="00DA662F">
        <w:rPr>
          <w:sz w:val="18"/>
          <w:szCs w:val="18"/>
          <w:lang w:val="uk-UA"/>
        </w:rPr>
        <w:t xml:space="preserve"> </w:t>
      </w:r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 xml:space="preserve">органи державного ринкового нагляду повинні застосовувати </w:t>
      </w:r>
      <w:r w:rsidR="00B9154C" w:rsidRPr="00DA662F">
        <w:rPr>
          <w:rFonts w:ascii="Times New Roman" w:hAnsi="Times New Roman" w:cs="Times New Roman"/>
          <w:sz w:val="28"/>
          <w:szCs w:val="28"/>
          <w:lang w:val="uk-UA"/>
        </w:rPr>
        <w:t>таку</w:t>
      </w:r>
      <w:r w:rsidR="004E3B64" w:rsidRPr="00DA662F">
        <w:rPr>
          <w:rFonts w:ascii="Times New Roman" w:hAnsi="Times New Roman" w:cs="Times New Roman"/>
          <w:sz w:val="28"/>
          <w:szCs w:val="28"/>
          <w:lang w:val="uk-UA"/>
        </w:rPr>
        <w:t xml:space="preserve"> процедуру для вимог, зазначених у додатку 2 до Технічного регламенту: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1) перевірці підлягає один електронний дисплей </w:t>
      </w:r>
      <w:r w:rsidR="00534972" w:rsidRPr="00DA662F">
        <w:rPr>
          <w:rFonts w:ascii="Times New Roman" w:eastAsia="Times New Roman" w:hAnsi="Times New Roman" w:cs="Times New Roman"/>
          <w:sz w:val="28"/>
          <w:szCs w:val="28"/>
        </w:rPr>
        <w:t>для кожної моделі</w:t>
      </w:r>
      <w:r w:rsidR="0053497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3B64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2) модель електронного дисплея вважається такою, що відповідає вимогам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наведеним у додатку 2 до Технічного регламенту, якщо:</w:t>
      </w:r>
    </w:p>
    <w:p w:rsidR="004E3B64" w:rsidRPr="00DA662F" w:rsidRDefault="004E3B64" w:rsidP="004E3B64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DA662F">
        <w:rPr>
          <w:sz w:val="28"/>
          <w:szCs w:val="28"/>
          <w:lang w:val="uk-UA"/>
        </w:rPr>
        <w:t xml:space="preserve">значення, наведені в технічній документації згідно з пунктами 2 та 3 додатка 3 до </w:t>
      </w:r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Технічного регламенту щодо встановлення системи для визначення вимог з </w:t>
      </w:r>
      <w:proofErr w:type="spellStart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продуктів, затвердженого постановою Кабінету Міністрів України від 3 жовтня 2018 р. № 804 (Офіційний вісник України, 2018 р., № 80, ст. 2678),</w:t>
      </w:r>
      <w:r w:rsidRPr="00DA662F">
        <w:rPr>
          <w:sz w:val="28"/>
          <w:szCs w:val="28"/>
          <w:lang w:val="uk-UA"/>
        </w:rPr>
        <w:t xml:space="preserve"> і, якщо це </w:t>
      </w:r>
      <w:proofErr w:type="spellStart"/>
      <w:r w:rsidRPr="00DA662F">
        <w:rPr>
          <w:sz w:val="28"/>
          <w:szCs w:val="28"/>
          <w:lang w:val="uk-UA"/>
        </w:rPr>
        <w:t>прийнятно</w:t>
      </w:r>
      <w:proofErr w:type="spellEnd"/>
      <w:r w:rsidRPr="00DA662F">
        <w:rPr>
          <w:sz w:val="28"/>
          <w:szCs w:val="28"/>
          <w:lang w:val="uk-UA"/>
        </w:rPr>
        <w:t>, значення, що використовуються для обчислення цих значень, не є вигіднішими для виробника, імпортера або уповноваженого представника, ніж результати відповідних вимірювань, проведених згідно</w:t>
      </w:r>
      <w:r w:rsidR="00B9154C" w:rsidRPr="00DA662F">
        <w:rPr>
          <w:sz w:val="28"/>
          <w:szCs w:val="28"/>
          <w:lang w:val="uk-UA"/>
        </w:rPr>
        <w:t xml:space="preserve"> з підпунктом</w:t>
      </w:r>
      <w:r w:rsidRPr="00DA662F">
        <w:rPr>
          <w:sz w:val="28"/>
          <w:szCs w:val="28"/>
          <w:lang w:val="uk-UA"/>
        </w:rPr>
        <w:t xml:space="preserve"> 7 пункту 3 додатка 3 до </w:t>
      </w:r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Технічного регламенту щодо встановлення системи для визначення вимог з </w:t>
      </w:r>
      <w:proofErr w:type="spellStart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</w:t>
      </w:r>
      <w:proofErr w:type="spellStart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>енергоспоживчих</w:t>
      </w:r>
      <w:proofErr w:type="spellEnd"/>
      <w:r w:rsidRPr="00DA662F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продуктів</w:t>
      </w:r>
      <w:r w:rsidRPr="00DA662F">
        <w:rPr>
          <w:sz w:val="28"/>
          <w:szCs w:val="28"/>
          <w:lang w:val="uk-UA"/>
        </w:rPr>
        <w:t xml:space="preserve">; </w:t>
      </w:r>
    </w:p>
    <w:p w:rsidR="000312CE" w:rsidRPr="00DA662F" w:rsidRDefault="00B823AD" w:rsidP="003E7B1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задекларовані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значення, відповідають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будь-яким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вимогам, наведеним у </w:t>
      </w:r>
      <w:r w:rsidR="00C65AD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Технічному регламенті,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будь-яка необхідна інформація про продукцію, надана виробником, імпортером або уповноваженим представником, не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містить значень, які є </w:t>
      </w:r>
      <w:r w:rsidR="008A3ACF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більш сприятливими для виробника, імпортера або уповноваженого представника, ніж задекларовані значення;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7B1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727DC" w:rsidRPr="00DA662F" w:rsidRDefault="003E7B1A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під час перевірки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одиниці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модел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електронного дисплея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органи державного ринкового нагляду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ють</w:t>
      </w:r>
      <w:proofErr w:type="spellEnd"/>
      <w:r w:rsidR="007727D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0312CE" w:rsidRPr="00DA662F" w:rsidRDefault="007727DC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7B1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ність</w:t>
      </w:r>
      <w:r w:rsidR="008B043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вказан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значен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(значення відповідних параметрів, виміряні при перевірці, та значення,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розрахов</w:t>
      </w:r>
      <w:proofErr w:type="spellEnd"/>
      <w:r w:rsidR="003E7B1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ані</w:t>
      </w:r>
      <w:r w:rsidR="003E7B1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B1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на основі з</w:t>
      </w:r>
      <w:r w:rsidR="003E7B1A" w:rsidRPr="00DA662F">
        <w:rPr>
          <w:rFonts w:ascii="Times New Roman" w:eastAsia="Times New Roman" w:hAnsi="Times New Roman" w:cs="Times New Roman"/>
          <w:sz w:val="28"/>
          <w:szCs w:val="28"/>
        </w:rPr>
        <w:t xml:space="preserve"> цих вимірювань)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допустимим похибкам, наведеним у таблиці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цього додатка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312CE" w:rsidRPr="00DA662F" w:rsidRDefault="007727DC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відповід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ність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одиниці моделі</w:t>
      </w:r>
      <w:r w:rsidR="00F12F5C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функціональним вимогам і вимогам щодо ремонту та аспектів закінчення терміну служби.</w:t>
      </w:r>
    </w:p>
    <w:p w:rsidR="000312CE" w:rsidRPr="00DA662F" w:rsidRDefault="00F12F5C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Процедура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перевірки вимог, встановлених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="009D268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підпункті </w:t>
      </w:r>
      <w:r w:rsidR="00CC1D7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9D268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пункту 2 додатка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D268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8480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вважається такою, що відповідає застосовним вимогам, якщо: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ABC </w:t>
      </w:r>
      <w:r w:rsidR="00CC1D7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продукції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вімкнено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за замовчуванням і зберігається в усіх режимах SDR, крім конфігурації для магазину;</w:t>
      </w:r>
      <w:r w:rsidRPr="00DA66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виміряне живлення в режимі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proofErr w:type="spellStart"/>
      <w:r w:rsidR="002B0D13"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2B0D13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зменшується на 20 % або більше, коли рівень зовнішнього освітлення, виміряний на датчику ABC, зменшується зі 100 люкс до 12 люкс;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контроль ABC яскравості дисплея відповідає вимогам 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>абзац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>шост</w:t>
      </w:r>
      <w:proofErr w:type="spellEnd"/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підпункт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пункту 2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6C66E4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66E4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620FE3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Процедура перевірки вимог, встановлених у підпункт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042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пункту 2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вважається такою, що відповідає застосовним вимогам, якщо: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звичайна конфігурація надається </w:t>
      </w:r>
      <w:r w:rsidR="00620FE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вибір за замовчуванням під час початкової активації електронного дисплея;</w:t>
      </w:r>
    </w:p>
    <w:p w:rsidR="000312CE" w:rsidRPr="00DA662F" w:rsidRDefault="00620FE3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спожи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вач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вибирає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відмінний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режим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звичайн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конфігураці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ід час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друго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процес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вибору буде запропоновано підтвердити вибір. </w:t>
      </w:r>
    </w:p>
    <w:p w:rsidR="000312CE" w:rsidRPr="00DA662F" w:rsidRDefault="00CD4810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Процедура перевірки вимог, встановлених у </w:t>
      </w:r>
      <w:r w:rsidR="00DD2325" w:rsidRPr="00DA662F">
        <w:rPr>
          <w:rFonts w:ascii="Times New Roman" w:eastAsia="Times New Roman" w:hAnsi="Times New Roman" w:cs="Times New Roman"/>
          <w:sz w:val="28"/>
          <w:szCs w:val="28"/>
        </w:rPr>
        <w:t>підпункт</w:t>
      </w:r>
      <w:r w:rsidR="00DD2325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DD232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042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пункту 2</w:t>
      </w:r>
      <w:r w:rsidR="00DD232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2325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DD2325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D2325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вважається такою, що відповідає застосовним вимогам, якщо визначене значення </w:t>
      </w:r>
      <w:r w:rsidR="00CD4810" w:rsidRPr="00DA662F">
        <w:rPr>
          <w:rFonts w:ascii="Times New Roman" w:eastAsia="Times New Roman" w:hAnsi="Times New Roman" w:cs="Times New Roman"/>
          <w:sz w:val="28"/>
          <w:szCs w:val="28"/>
        </w:rPr>
        <w:t>пік</w:t>
      </w:r>
      <w:proofErr w:type="spellStart"/>
      <w:r w:rsidR="00CD481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ового</w:t>
      </w:r>
      <w:proofErr w:type="spellEnd"/>
      <w:r w:rsidR="00CD481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співвідношення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яскравості </w:t>
      </w:r>
      <w:r w:rsidR="00E62962" w:rsidRPr="00DA662F">
        <w:rPr>
          <w:rFonts w:ascii="Times New Roman" w:eastAsia="Times New Roman" w:hAnsi="Times New Roman" w:cs="Times New Roman"/>
          <w:sz w:val="28"/>
          <w:szCs w:val="28"/>
        </w:rPr>
        <w:t>біло</w:t>
      </w:r>
      <w:r w:rsidR="00E6296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E62962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або, якщо це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застосовно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>, пікового коефіцієнта яскравості</w:t>
      </w:r>
      <w:r w:rsidR="00CD4810" w:rsidRPr="00DA662F">
        <w:rPr>
          <w:rFonts w:ascii="Times New Roman" w:eastAsia="Times New Roman" w:hAnsi="Times New Roman" w:cs="Times New Roman"/>
          <w:sz w:val="28"/>
          <w:szCs w:val="28"/>
        </w:rPr>
        <w:t xml:space="preserve"> біло</w:t>
      </w:r>
      <w:r w:rsidR="00CD481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, відповідає значенню, що вимагається в підпункті 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CD4810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пункту 2</w:t>
      </w:r>
      <w:r w:rsidR="00CD481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4810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CD481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CD4810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CD4810" w:rsidP="00F01EB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Процедура перевірки вимог, встановлених у підпункт</w:t>
      </w:r>
      <w:r w:rsidR="00F01EB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0355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пункту 3</w:t>
      </w:r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F01EB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вважається такою, що відповідає застосовним вимогам, якщо, при підключенні до джерела живлення: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proofErr w:type="spellStart"/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>вимкнен</w:t>
      </w:r>
      <w:proofErr w:type="spellEnd"/>
      <w:r w:rsidR="00F01EB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та/або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та/або інший режим, який не перевищує застосовних вимог до споживання електроенергії для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>вимкнено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F01EBD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та/або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, встановлено за замовчуванням;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пристрій забезпечує мережевий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HiNA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, пристрій не перевищує застосовні вимоги до енергоспоживання для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HiNA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, коли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мережевий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312CE" w:rsidRPr="00DA662F" w:rsidRDefault="0021035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продукція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має мережевий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без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HiNA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продукція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не перевищує відповідних вимог до енергоспоживання без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HiNA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коли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мережевий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2B080B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Процедура перевірки вимог, встановлених у </w:t>
      </w:r>
      <w:r w:rsidR="001B178E" w:rsidRPr="00DA662F">
        <w:rPr>
          <w:rFonts w:ascii="Times New Roman" w:eastAsia="Times New Roman" w:hAnsi="Times New Roman" w:cs="Times New Roman"/>
          <w:sz w:val="28"/>
          <w:szCs w:val="28"/>
        </w:rPr>
        <w:t>підпункт</w:t>
      </w:r>
      <w:r w:rsidR="001B178E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1B178E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0355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1B178E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пункту 3</w:t>
      </w:r>
      <w:r w:rsidR="001B178E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178E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1B178E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1B178E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вважається такою, що відповідає застосовним вимогам, якщо: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пристрій має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proofErr w:type="spellStart"/>
      <w:r w:rsidR="009C3713" w:rsidRPr="00DA662F">
        <w:rPr>
          <w:rFonts w:ascii="Times New Roman" w:eastAsia="Times New Roman" w:hAnsi="Times New Roman" w:cs="Times New Roman"/>
          <w:sz w:val="28"/>
          <w:szCs w:val="28"/>
        </w:rPr>
        <w:t>вимкнен</w:t>
      </w:r>
      <w:proofErr w:type="spellEnd"/>
      <w:r w:rsidR="009C371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C3713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та/або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, та/або інший ре</w:t>
      </w:r>
      <w:r w:rsidR="009C3713" w:rsidRPr="00DA662F">
        <w:rPr>
          <w:rFonts w:ascii="Times New Roman" w:eastAsia="Times New Roman" w:hAnsi="Times New Roman" w:cs="Times New Roman"/>
          <w:sz w:val="28"/>
          <w:szCs w:val="28"/>
        </w:rPr>
        <w:t>жим, який не перевищує застосов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них вимог до споживання електроенергії для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="009C3713" w:rsidRPr="00DA662F">
        <w:rPr>
          <w:rFonts w:ascii="Times New Roman" w:eastAsia="Times New Roman" w:hAnsi="Times New Roman" w:cs="Times New Roman"/>
          <w:sz w:val="28"/>
          <w:szCs w:val="28"/>
        </w:rPr>
        <w:t>вимкнено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C3713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та/або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, коли електронний дисплей підключено до джерела живлення;</w:t>
      </w:r>
      <w:r w:rsidR="009C371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активація доступності мережі вимагає втручання </w:t>
      </w:r>
      <w:r w:rsidR="009C371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спожи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вача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доступність мережі може бути вимкнена </w:t>
      </w:r>
      <w:r w:rsidR="009C371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спожи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вачем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312CE" w:rsidRPr="00DA662F" w:rsidRDefault="009C3713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пристрій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відповідає вимогам щодо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коли мережевий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r w:rsidR="00210355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вімкнено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7A0470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Процедура перевірки вимог, встановлених у підпункт</w:t>
      </w:r>
      <w:r w:rsidR="00DD70E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 3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пункту 3</w:t>
      </w:r>
      <w:r w:rsidR="00DD70E0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D70E0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DD70E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DD70E0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Модель вважається такою, що відповідає застосовним вимогам, якщо:</w:t>
      </w:r>
      <w:r w:rsidRPr="00DA66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протягом 4 годин у режимі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A04CB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Start"/>
      <w:r w:rsidR="00A04CBA" w:rsidRPr="00DA662F">
        <w:rPr>
          <w:rFonts w:ascii="Times New Roman" w:eastAsia="Times New Roman" w:hAnsi="Times New Roman" w:cs="Times New Roman"/>
          <w:sz w:val="28"/>
          <w:szCs w:val="28"/>
        </w:rPr>
        <w:t>вімкнено</w:t>
      </w:r>
      <w:proofErr w:type="spellEnd"/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A04CB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після останньої взаємодії </w:t>
      </w:r>
      <w:r w:rsidR="00421499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A04CB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спожи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вачем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або протягом 1 години, якщо датчик присутності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і не виявлено руху, телевізор автоматично перемикається з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proofErr w:type="spellStart"/>
      <w:r w:rsidR="00A04CBA"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A04CB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на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, або режим</w:t>
      </w:r>
      <w:r w:rsidR="00A04CB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proofErr w:type="spellStart"/>
      <w:r w:rsidR="00A04CBA" w:rsidRPr="00DA662F">
        <w:rPr>
          <w:rFonts w:ascii="Times New Roman" w:eastAsia="Times New Roman" w:hAnsi="Times New Roman" w:cs="Times New Roman"/>
          <w:sz w:val="28"/>
          <w:szCs w:val="28"/>
        </w:rPr>
        <w:t>вимкнен</w:t>
      </w:r>
      <w:proofErr w:type="spellEnd"/>
      <w:r w:rsidR="00A04CB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, або мережевий режим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, якщо такий є, або інший режим, який не перевищує застосовні вимоги до енергоспоживання для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</w:rPr>
        <w:t>”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662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Органи державного ринкового нагляду повинні</w:t>
      </w:r>
      <w:r w:rsidRPr="00DA662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використовувати відповідну процедуру для вимірювання потреби в живленні після </w:t>
      </w:r>
      <w:proofErr w:type="spellStart"/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>перемика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ння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телевізор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у відповідний режим живлення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допомогою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>функці</w:t>
      </w:r>
      <w:proofErr w:type="spellEnd"/>
      <w:r w:rsidR="0070239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 xml:space="preserve"> автоматичного вимкнення живлення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функція встановлена за замовчуванням;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в режимі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proofErr w:type="spellStart"/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телевізор показує попереджувальне повідомлення перед автоматичним перемиканням з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proofErr w:type="spellStart"/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на відповідний режим;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телевізор має функцію, що дозволяє </w:t>
      </w:r>
      <w:r w:rsidR="009E3ED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спожи</w:t>
      </w:r>
      <w:proofErr w:type="spellStart"/>
      <w:r w:rsidR="00B9154C" w:rsidRPr="00DA662F">
        <w:rPr>
          <w:rFonts w:ascii="Times New Roman" w:eastAsia="Times New Roman" w:hAnsi="Times New Roman" w:cs="Times New Roman"/>
          <w:sz w:val="28"/>
          <w:szCs w:val="28"/>
        </w:rPr>
        <w:t>вачеві</w:t>
      </w:r>
      <w:proofErr w:type="spellEnd"/>
      <w:r w:rsidR="00B9154C" w:rsidRPr="00DA662F">
        <w:rPr>
          <w:rFonts w:ascii="Times New Roman" w:eastAsia="Times New Roman" w:hAnsi="Times New Roman" w:cs="Times New Roman"/>
          <w:sz w:val="28"/>
          <w:szCs w:val="28"/>
        </w:rPr>
        <w:t xml:space="preserve"> змінювати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4-годинний період для автоматичних переходів режимів, описаних у абзаці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третьому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цього пункту, з’являється попереджувальне повідомлення про потенційне збільшення споживання енергії та 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являється 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</w:rPr>
        <w:t>запит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підтвердження нового налаштування,</w:t>
      </w:r>
      <w:r w:rsidR="00B9154C" w:rsidRPr="00DA662F">
        <w:rPr>
          <w:rFonts w:ascii="Times New Roman" w:eastAsia="Times New Roman" w:hAnsi="Times New Roman" w:cs="Times New Roman"/>
          <w:sz w:val="28"/>
          <w:szCs w:val="28"/>
        </w:rPr>
        <w:t xml:space="preserve"> якщо вибрано продовження понад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4-годинний період або вимкнення;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телевізор обладнано датчиком присутності, автоматичний перехід з режиму </w:t>
      </w:r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proofErr w:type="spellStart"/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>увімкнено</w:t>
      </w:r>
      <w:proofErr w:type="spellEnd"/>
      <w:r w:rsidR="008823EB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70239A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в будь-який режим, як описано в абзаці </w:t>
      </w:r>
      <w:r w:rsidR="002D7D1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третьому</w:t>
      </w:r>
      <w:r w:rsidR="003A701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цього пункту, застосовується, якщо присутність не виявлено протягом 1 години;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у телевізорах з різними джерелами вхідного сигналу, які можна вибирати, протоколи керування живленням для вибраного джерела сигналу мають пріоритет над механізмами керування живленням за замовчуванням, описаними в абзаці</w:t>
      </w:r>
      <w:r w:rsidR="00EC7C91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53F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третьому</w:t>
      </w:r>
      <w:r w:rsidR="00EC7C91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цього пункту.</w:t>
      </w:r>
    </w:p>
    <w:p w:rsidR="000312CE" w:rsidRPr="00DA662F" w:rsidRDefault="00362010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lastRenderedPageBreak/>
        <w:t>9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Процедура перевірки вимог, встановлених у </w:t>
      </w:r>
      <w:r w:rsidR="000D43D7" w:rsidRPr="00DA662F">
        <w:rPr>
          <w:rFonts w:ascii="Times New Roman" w:eastAsia="Times New Roman" w:hAnsi="Times New Roman" w:cs="Times New Roman"/>
          <w:sz w:val="28"/>
          <w:szCs w:val="28"/>
        </w:rPr>
        <w:t>підпункт</w:t>
      </w:r>
      <w:r w:rsidR="000D43D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0D43D7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74FA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="000D43D7" w:rsidRPr="00DA662F">
        <w:rPr>
          <w:rFonts w:ascii="Times New Roman" w:eastAsia="Times New Roman" w:hAnsi="Times New Roman" w:cs="Times New Roman"/>
          <w:sz w:val="28"/>
          <w:szCs w:val="28"/>
        </w:rPr>
        <w:t>пункту 3</w:t>
      </w:r>
      <w:r w:rsidR="000D43D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0D43D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0D43D7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0312CE" w:rsidRPr="00DA662F" w:rsidRDefault="006E26FB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повинна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r w:rsidR="002016AF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випробувана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для кожного типу інтерфейсу вхідного сигналу, який може бути вибраний споживачем і для якого передбачено передачу сигналів керування або дані керування живленням.</w:t>
      </w:r>
      <w:r w:rsidRPr="00DA662F">
        <w:rPr>
          <w:color w:val="222222"/>
          <w:shd w:val="clear" w:color="auto" w:fill="FFFFFF"/>
          <w:lang w:val="uk-UA"/>
        </w:rPr>
        <w:t xml:space="preserve"> 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У випадку, я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кщо є два а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 xml:space="preserve">бо більше </w:t>
      </w:r>
      <w:proofErr w:type="spellStart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ідентичн</w:t>
      </w:r>
      <w:proofErr w:type="spellEnd"/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4C4EDE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сигна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льні</w:t>
      </w:r>
      <w:proofErr w:type="spellEnd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4EDE" w:rsidRPr="00DA662F">
        <w:rPr>
          <w:rFonts w:ascii="Times New Roman" w:eastAsia="Times New Roman" w:hAnsi="Times New Roman" w:cs="Times New Roman"/>
          <w:sz w:val="28"/>
          <w:szCs w:val="28"/>
        </w:rPr>
        <w:t>інтерфейси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не позначених для певного типу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основно</w:t>
      </w:r>
      <w:proofErr w:type="spellEnd"/>
      <w:r w:rsidR="002016AF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16AF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продукції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(наприклад, HDMI-1, HDMI-2 тощо), достатньо </w:t>
      </w:r>
      <w:r w:rsidR="002016AF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випробувати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один із цих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сигна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льних</w:t>
      </w:r>
      <w:proofErr w:type="spellEnd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 xml:space="preserve"> інтерфейсів, 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proofErr w:type="spellStart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брани</w:t>
      </w:r>
      <w:proofErr w:type="spellEnd"/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випадков</w:t>
      </w:r>
      <w:proofErr w:type="spellEnd"/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 Якщо існують марковані або п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значені в меню 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сигнал</w:t>
      </w:r>
      <w:proofErr w:type="spellStart"/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ьні</w:t>
      </w:r>
      <w:proofErr w:type="spellEnd"/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інтерфейси (наприклад, комп’ютер, телеприставка або аналогічні пристрої), відповідний головний пристрій джерела сигналу 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повинен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бути підключений до 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изначеного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сигнального інтерфейсу для </w:t>
      </w:r>
      <w:r w:rsidR="002016AF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випробування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 Модель вважаєтьс</w:t>
      </w:r>
      <w:r w:rsidR="00C631C2" w:rsidRPr="00DA662F">
        <w:rPr>
          <w:rFonts w:ascii="Times New Roman" w:eastAsia="Times New Roman" w:hAnsi="Times New Roman" w:cs="Times New Roman"/>
          <w:sz w:val="28"/>
          <w:szCs w:val="28"/>
        </w:rPr>
        <w:t>я такою, що відповідає застосов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ній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вимозі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якщо жодного вхідного </w:t>
      </w:r>
      <w:r w:rsidR="00C2595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сигналу не виявлено від жодного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джерела не виявлено, а модель пере</w:t>
      </w:r>
      <w:r w:rsidR="00C2595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ходить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 режим 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режим 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proofErr w:type="spellStart"/>
      <w:r w:rsidR="00C25950" w:rsidRPr="00DA662F">
        <w:rPr>
          <w:rFonts w:ascii="Times New Roman" w:eastAsia="Times New Roman" w:hAnsi="Times New Roman" w:cs="Times New Roman"/>
          <w:sz w:val="28"/>
          <w:szCs w:val="28"/>
        </w:rPr>
        <w:t>вимкнен</w:t>
      </w:r>
      <w:proofErr w:type="spellEnd"/>
      <w:r w:rsidR="00C25950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або мережевий режим 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“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очікування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D23F37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Процедура перевірки вимог, встановлених у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ах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4 та 5</w:t>
      </w:r>
      <w:r w:rsidR="008F44A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9718A5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вважається такою, що відповідає застосовним вимогам, якщо при перевірці органами державного ринкового нагляду одиниці моделі вона відповідає вимогам щодо ефективності використання ресурсів у </w:t>
      </w:r>
      <w:r w:rsidR="008F44A7" w:rsidRPr="00DA662F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8F44A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ах</w:t>
      </w:r>
      <w:r w:rsidR="008F44A7" w:rsidRPr="00DA662F">
        <w:rPr>
          <w:rFonts w:ascii="Times New Roman" w:eastAsia="Times New Roman" w:hAnsi="Times New Roman" w:cs="Times New Roman"/>
          <w:sz w:val="28"/>
          <w:szCs w:val="28"/>
        </w:rPr>
        <w:t xml:space="preserve"> 4 та 5</w:t>
      </w:r>
      <w:r w:rsidR="008F44A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8F44A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8F44A7" w:rsidRPr="00DA66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8F44A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12CE" w:rsidRPr="00DA662F" w:rsidRDefault="008F44A7" w:rsidP="00674CC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важа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, що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дотриман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о в</w:t>
      </w:r>
      <w:proofErr w:type="spellStart"/>
      <w:r w:rsidRPr="00DA662F">
        <w:rPr>
          <w:rFonts w:ascii="Times New Roman" w:eastAsia="Times New Roman" w:hAnsi="Times New Roman" w:cs="Times New Roman"/>
          <w:sz w:val="28"/>
          <w:szCs w:val="28"/>
        </w:rPr>
        <w:t>имог</w:t>
      </w:r>
      <w:proofErr w:type="spellEnd"/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зазначених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>підпункт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6B7F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пункту 4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Технічного регламенту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, якщо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0469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изначене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значення HFR, </w:t>
      </w:r>
      <w:proofErr w:type="spellStart"/>
      <w:r w:rsidR="009E5136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навед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ене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E5136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Технічному регламенті обмеження використання деяких небезпечних речовин в електричному та електронному обладнанні, затвердженому постановою Кабінету Міністрів У</w:t>
      </w:r>
      <w:r w:rsidR="00325D36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країни від 10 </w:t>
      </w:r>
      <w:r w:rsidR="009E5136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березн</w:t>
      </w:r>
      <w:r w:rsidR="00F211E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9E5136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2017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="009E5136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139 (Офіційний вісник України 2017 р., № </w:t>
      </w:r>
      <w:r w:rsidR="00F00E5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24, ст. 683)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, не перевищує відповідних максимальних значень концентрації, визначених у</w:t>
      </w:r>
      <w:r w:rsidR="009718A5" w:rsidRPr="00DA662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додатку </w:t>
      </w:r>
      <w:r w:rsidR="00F00E5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2 до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E5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Технічного регламенту обмеження використання деяких небезпечних речовин в електричному та електронному обладнанні, затвердженому постановою Кабінету Міністрів України від 10 березн</w:t>
      </w:r>
      <w:r w:rsidR="00F211ED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F00E5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2017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="00F00E5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139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12CE" w:rsidRPr="00DA662F" w:rsidRDefault="00C34D81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ля інших HFR визначене значення для будь-якого однорідного матеріалу не перевищує 0,1 % від маси вмісту галогену. Якщо визначене значення для будь-якого однорідного матеріалу перевищує 0,1 % </w:t>
      </w:r>
      <w:r w:rsidR="00D324E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D324E2" w:rsidRPr="00DA662F">
        <w:rPr>
          <w:rFonts w:ascii="Times New Roman" w:eastAsia="Times New Roman" w:hAnsi="Times New Roman" w:cs="Times New Roman"/>
          <w:sz w:val="28"/>
          <w:szCs w:val="28"/>
        </w:rPr>
        <w:t xml:space="preserve"> мас</w:t>
      </w:r>
      <w:r w:rsidR="00D324E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вмісту галогену, модель все ще може вважатися відповідною, якщо перевірки документації або будь-які інші відповідні, відтворювані методи показують, що вміст галогену не пов’язаний з антипіреном.</w:t>
      </w:r>
      <w:r w:rsidR="009718A5" w:rsidRPr="00DA66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312CE" w:rsidRPr="00DA662F" w:rsidRDefault="00362010" w:rsidP="00A0611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. Якщо результати, зазначені в абзацах другому 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третьому підпункту 2 пункту 2 цього додатка</w:t>
      </w:r>
      <w:r w:rsidR="00893531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стосовно вимог, які не передбачають 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виміряних значень,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не досягнуті, модель електронного дисплея та всі еквівалентні модел</w:t>
      </w:r>
      <w:r w:rsidR="00F211ED" w:rsidRPr="00DA662F">
        <w:rPr>
          <w:rFonts w:ascii="Times New Roman" w:eastAsia="Times New Roman" w:hAnsi="Times New Roman" w:cs="Times New Roman"/>
          <w:sz w:val="28"/>
          <w:szCs w:val="28"/>
        </w:rPr>
        <w:t>і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вважаються такими, що не відповідають вимогам</w:t>
      </w:r>
      <w:r w:rsidR="00893531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Технічного регламенту.</w:t>
      </w:r>
    </w:p>
    <w:p w:rsidR="000312CE" w:rsidRPr="00DA662F" w:rsidRDefault="00362010" w:rsidP="007C653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</w:rPr>
        <w:t xml:space="preserve"> Якщо результат</w:t>
      </w:r>
      <w:proofErr w:type="spellStart"/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зазначен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proofErr w:type="spellEnd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абзацах 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</w:rPr>
        <w:t xml:space="preserve">другому 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</w:rPr>
        <w:t xml:space="preserve"> третьому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підпункту 2 пункту 2 цього додатка 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стосовно вимог, які стосуються вимірюваних значень,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не досягнуто, органи державного ринкового нагляду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вибирають три додаткові електронні дисплеї тієї 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ж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моделі</w:t>
      </w:r>
      <w:r w:rsidR="001405F2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еквівалентної моделі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для перевірки</w:t>
      </w:r>
      <w:r w:rsidR="00D128F6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C653E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Модель вважається такою, що відповідає </w:t>
      </w:r>
      <w:r w:rsidR="003E7251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застосовним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вимогам, якщо для цих трьох електронних дисплеїв середнє арифметичне значення, відповідає допустимим похибкам, наведеним у таблиці 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цього додатка.</w:t>
      </w:r>
      <w:r w:rsidR="00AC7807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іншому випадку модель та всі еквівалентні моделі повинні вважатися такими, що не відповідають вимогам.</w:t>
      </w:r>
    </w:p>
    <w:p w:rsidR="000312CE" w:rsidRPr="00DA662F" w:rsidRDefault="009718A5">
      <w:pPr>
        <w:pStyle w:val="2"/>
        <w:tabs>
          <w:tab w:val="center" w:pos="733"/>
          <w:tab w:val="center" w:pos="2636"/>
        </w:tabs>
        <w:spacing w:before="0" w:after="0"/>
        <w:ind w:right="45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5"/>
        <w:tblW w:w="950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020"/>
        <w:gridCol w:w="5485"/>
      </w:tblGrid>
      <w:tr w:rsidR="000312CE" w:rsidRPr="00DA662F" w:rsidTr="00965AD6">
        <w:trPr>
          <w:trHeight w:val="436"/>
        </w:trPr>
        <w:tc>
          <w:tcPr>
            <w:tcW w:w="4020" w:type="dxa"/>
            <w:vAlign w:val="center"/>
          </w:tcPr>
          <w:p w:rsidR="000312CE" w:rsidRPr="00DA662F" w:rsidRDefault="009718A5">
            <w:pPr>
              <w:ind w:right="45" w:firstLine="5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</w:t>
            </w:r>
            <w:r w:rsidR="00FB5064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85" w:type="dxa"/>
            <w:vAlign w:val="center"/>
          </w:tcPr>
          <w:p w:rsidR="000312CE" w:rsidRPr="00DA662F" w:rsidRDefault="007C653E">
            <w:pPr>
              <w:ind w:right="45" w:firstLine="5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опу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стимі</w:t>
            </w:r>
            <w:proofErr w:type="spellEnd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похибки</w:t>
            </w:r>
          </w:p>
        </w:tc>
      </w:tr>
      <w:tr w:rsidR="000312CE" w:rsidRPr="00DA662F" w:rsidTr="00965AD6">
        <w:trPr>
          <w:trHeight w:val="755"/>
        </w:trPr>
        <w:tc>
          <w:tcPr>
            <w:tcW w:w="4020" w:type="dxa"/>
            <w:vAlign w:val="center"/>
          </w:tcPr>
          <w:p w:rsidR="000312CE" w:rsidRPr="00DA662F" w:rsidRDefault="009718A5" w:rsidP="0014102E">
            <w:pPr>
              <w:ind w:left="147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Потреба 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живленні в режимі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</w:t>
            </w:r>
            <w:proofErr w:type="spellStart"/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увімкнено</w:t>
            </w:r>
            <w:proofErr w:type="spellEnd"/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”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r w:rsidRPr="00DA66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 </w:t>
            </w:r>
            <w:proofErr w:type="spellStart"/>
            <w:r w:rsidRPr="00DA662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measured</w:t>
            </w:r>
            <w:proofErr w:type="spellEnd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Вт)  за винятком 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похибок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коригувань у </w:t>
            </w:r>
            <w:r w:rsidR="00D128F6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</w:t>
            </w:r>
            <w:r w:rsidR="00D128F6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D128F6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D128F6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</w:t>
            </w:r>
            <w:proofErr w:type="spellEnd"/>
            <w:r w:rsidR="00D128F6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D128F6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674CCC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Технічного регламенту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для цілей розрахунку EEI, наведеного в 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D128F6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</w:t>
            </w:r>
            <w:proofErr w:type="spellEnd"/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674CCC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Технічного регламенту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85" w:type="dxa"/>
          </w:tcPr>
          <w:p w:rsidR="000312CE" w:rsidRPr="00DA662F" w:rsidRDefault="009718A5" w:rsidP="00190C07">
            <w:pPr>
              <w:ind w:left="141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Визначене значення (*) не повинно перевищувати задеклароване значення більше ніж на 7 %</w:t>
            </w:r>
          </w:p>
        </w:tc>
      </w:tr>
      <w:tr w:rsidR="000312CE" w:rsidRPr="00DA662F" w:rsidTr="00965AD6">
        <w:trPr>
          <w:trHeight w:val="947"/>
        </w:trPr>
        <w:tc>
          <w:tcPr>
            <w:tcW w:w="4020" w:type="dxa"/>
          </w:tcPr>
          <w:p w:rsidR="000312CE" w:rsidRPr="00DA662F" w:rsidRDefault="009718A5" w:rsidP="0014102E">
            <w:pPr>
              <w:ind w:left="147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Потреба 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живленні у режимі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вимкнено</w:t>
            </w:r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”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режимі </w:t>
            </w:r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очікування</w:t>
            </w:r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”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мережевому режимі </w:t>
            </w:r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“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очікування</w:t>
            </w:r>
            <w:r w:rsidR="0014102E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”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(Вт), залежно від обставин </w:t>
            </w:r>
          </w:p>
        </w:tc>
        <w:tc>
          <w:tcPr>
            <w:tcW w:w="5485" w:type="dxa"/>
            <w:vAlign w:val="center"/>
          </w:tcPr>
          <w:p w:rsidR="000312CE" w:rsidRPr="00DA662F" w:rsidRDefault="009718A5" w:rsidP="00190C07">
            <w:pPr>
              <w:ind w:left="141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Визначене значення (*) не повинно перевищувати задеклароване значення більше ніж на 0,10 Вт, якщо задеклароване значення становить 1,00 Вт або менше, або більше ніж на 10 %, якщо задеклароване значення вище за 1,00 Вт.</w:t>
            </w:r>
          </w:p>
        </w:tc>
      </w:tr>
      <w:tr w:rsidR="000312CE" w:rsidRPr="00DA662F" w:rsidTr="00965AD6">
        <w:trPr>
          <w:trHeight w:val="756"/>
        </w:trPr>
        <w:tc>
          <w:tcPr>
            <w:tcW w:w="4020" w:type="dxa"/>
          </w:tcPr>
          <w:p w:rsidR="000312CE" w:rsidRPr="00DA662F" w:rsidRDefault="009718A5" w:rsidP="00190C07">
            <w:pPr>
              <w:ind w:left="147" w:right="45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Піковий коефіцієнт яскравості 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біло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</w:t>
            </w:r>
          </w:p>
        </w:tc>
        <w:tc>
          <w:tcPr>
            <w:tcW w:w="5485" w:type="dxa"/>
            <w:vAlign w:val="center"/>
          </w:tcPr>
          <w:p w:rsidR="000312CE" w:rsidRPr="00DA662F" w:rsidRDefault="009718A5" w:rsidP="00190C07">
            <w:pPr>
              <w:ind w:left="141" w:righ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Там, де це </w:t>
            </w:r>
            <w:proofErr w:type="spellStart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прийнятно</w:t>
            </w:r>
            <w:proofErr w:type="spellEnd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визначене значення не повинно бути нижче за 60 % піку яскравості 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біло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</w:t>
            </w:r>
            <w:r w:rsidR="00190C07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найяскравішої конфігурації в увімкненому режимі, передбаченої електронним дисплеєм.</w:t>
            </w:r>
          </w:p>
        </w:tc>
      </w:tr>
    </w:tbl>
    <w:p w:rsidR="000312CE" w:rsidRPr="00DA662F" w:rsidRDefault="000312CE">
      <w:pPr>
        <w:ind w:right="45"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2CE" w:rsidRPr="00DA662F" w:rsidRDefault="00362010" w:rsidP="009F39C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13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. Органи державного ринкового нагляду використовують вимірювання та розрахунки, наведені у додатку 3 до</w:t>
      </w:r>
      <w:r w:rsidR="00D574F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Технічного регламенту.</w:t>
      </w:r>
    </w:p>
    <w:p w:rsidR="000312CE" w:rsidRPr="00DA662F" w:rsidRDefault="009718A5" w:rsidP="009F39C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Органи державного ринкового нагляду застосовують лише допустимі похибки, наведені в таблиці 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цього додатка, і використовують  процедуру, 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цього додатка. Не застосовуються інші похибки, наприклад ті, що встановлені в національних стандартах, що є ідентичними гармонізованим європейським стандартам або будь-яким іншим методам вимірювання.</w:t>
      </w:r>
    </w:p>
    <w:p w:rsidR="00325D36" w:rsidRPr="00DA662F" w:rsidRDefault="00325D36" w:rsidP="009F39C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312CE" w:rsidRPr="00DA662F" w:rsidRDefault="009718A5" w:rsidP="001D11AF">
      <w:pPr>
        <w:pStyle w:val="2"/>
        <w:tabs>
          <w:tab w:val="center" w:pos="734"/>
          <w:tab w:val="center" w:pos="1840"/>
        </w:tabs>
        <w:spacing w:before="0" w:after="0"/>
        <w:ind w:right="45" w:firstLine="57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ab/>
      </w:r>
      <w:r w:rsidR="001D11AF" w:rsidRPr="00DA662F">
        <w:rPr>
          <w:rFonts w:ascii="Times New Roman" w:eastAsia="Times New Roman" w:hAnsi="Times New Roman" w:cs="Times New Roman"/>
          <w:sz w:val="28"/>
          <w:szCs w:val="28"/>
        </w:rPr>
        <w:t>Таблиця</w:t>
      </w:r>
      <w:r w:rsidR="0014102E" w:rsidRPr="00DA662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</w:t>
      </w:r>
      <w:r w:rsidR="001D11AF"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12CE" w:rsidRPr="00DA662F" w:rsidRDefault="009718A5">
      <w:pPr>
        <w:spacing w:after="200"/>
        <w:ind w:right="45" w:firstLine="570"/>
        <w:jc w:val="center"/>
        <w:rPr>
          <w:rFonts w:ascii="Times New Roman" w:eastAsia="Times New Roman" w:hAnsi="Times New Roman" w:cs="Times New Roman"/>
          <w:sz w:val="30"/>
          <w:szCs w:val="30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Допустимі похибки</w:t>
      </w:r>
      <w:r w:rsidRPr="00DA662F">
        <w:rPr>
          <w:rFonts w:ascii="Times New Roman" w:eastAsia="Times New Roman" w:hAnsi="Times New Roman" w:cs="Times New Roman"/>
          <w:sz w:val="30"/>
          <w:szCs w:val="30"/>
        </w:rPr>
        <w:t xml:space="preserve">  </w:t>
      </w:r>
    </w:p>
    <w:tbl>
      <w:tblPr>
        <w:tblStyle w:val="ad"/>
        <w:tblW w:w="0" w:type="auto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67052D" w:rsidRPr="00DA662F" w:rsidTr="0067052D">
        <w:tc>
          <w:tcPr>
            <w:tcW w:w="4111" w:type="dxa"/>
            <w:vAlign w:val="center"/>
          </w:tcPr>
          <w:p w:rsidR="0067052D" w:rsidRPr="00DA662F" w:rsidRDefault="0067052D" w:rsidP="0067052D">
            <w:pPr>
              <w:spacing w:before="60" w:after="60"/>
              <w:ind w:right="45" w:firstLine="5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</w:t>
            </w:r>
            <w:r w:rsidR="00FB5064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vAlign w:val="center"/>
          </w:tcPr>
          <w:p w:rsidR="0067052D" w:rsidRPr="00DA662F" w:rsidRDefault="0067052D" w:rsidP="0067052D">
            <w:pPr>
              <w:spacing w:before="60" w:after="60" w:line="276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Допустимі похибки</w:t>
            </w:r>
          </w:p>
        </w:tc>
      </w:tr>
    </w:tbl>
    <w:tbl>
      <w:tblPr>
        <w:tblStyle w:val="a6"/>
        <w:tblW w:w="950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18"/>
        <w:gridCol w:w="5387"/>
      </w:tblGrid>
      <w:tr w:rsidR="000312CE" w:rsidRPr="00DA662F" w:rsidTr="0067052D">
        <w:trPr>
          <w:trHeight w:val="106"/>
          <w:tblHeader/>
        </w:trPr>
        <w:tc>
          <w:tcPr>
            <w:tcW w:w="4118" w:type="dxa"/>
            <w:vAlign w:val="center"/>
          </w:tcPr>
          <w:p w:rsidR="000312CE" w:rsidRPr="00DA662F" w:rsidRDefault="0067052D" w:rsidP="0067052D">
            <w:pPr>
              <w:ind w:right="45" w:firstLine="5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vAlign w:val="center"/>
          </w:tcPr>
          <w:p w:rsidR="000312CE" w:rsidRPr="00DA662F" w:rsidRDefault="0067052D" w:rsidP="0067052D">
            <w:pPr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0312CE" w:rsidRPr="00DA662F" w:rsidTr="0067052D">
        <w:trPr>
          <w:trHeight w:val="562"/>
        </w:trPr>
        <w:tc>
          <w:tcPr>
            <w:tcW w:w="4118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Пік</w:t>
            </w:r>
            <w:proofErr w:type="spellStart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ова</w:t>
            </w:r>
            <w:proofErr w:type="spellEnd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яскрав</w:t>
            </w:r>
            <w:proofErr w:type="spellEnd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біло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кд</w:t>
            </w:r>
            <w:proofErr w:type="spellEnd"/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/м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5387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Визначене значення (*) не повинно бути нижчим за задеклароване значення більше ніж на 8 %</w:t>
            </w:r>
            <w:r w:rsidRPr="00DA6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312CE" w:rsidRPr="00DA662F" w:rsidTr="0067052D">
        <w:trPr>
          <w:trHeight w:val="925"/>
        </w:trPr>
        <w:tc>
          <w:tcPr>
            <w:tcW w:w="4118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Видима діагональ екрану в сантиметрах</w:t>
            </w:r>
          </w:p>
        </w:tc>
        <w:tc>
          <w:tcPr>
            <w:tcW w:w="5387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Визначене значення (*) не повинно бути нижчим за задеклароване значення більше ніж на 1 см</w:t>
            </w:r>
          </w:p>
        </w:tc>
      </w:tr>
      <w:tr w:rsidR="000312CE" w:rsidRPr="00DA662F" w:rsidTr="0067052D">
        <w:trPr>
          <w:trHeight w:val="925"/>
        </w:trPr>
        <w:tc>
          <w:tcPr>
            <w:tcW w:w="4118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екрану в дм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</w:tc>
        <w:tc>
          <w:tcPr>
            <w:tcW w:w="5387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Визначене значення (*) не повинно бути нижчим за задеклароване значення більше ніж на 0,1 дм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0312CE" w:rsidRPr="00DA662F" w:rsidTr="0067052D">
        <w:trPr>
          <w:trHeight w:val="564"/>
        </w:trPr>
        <w:tc>
          <w:tcPr>
            <w:tcW w:w="4118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Функції з хронометражем, як зазначено в 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підпункт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ах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і 4 пункту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</w:t>
            </w:r>
            <w:proofErr w:type="spellEnd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674CCC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Технічного регламенту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Перемикання має завершуватися протягом 5 секунд для встановлених значень</w:t>
            </w:r>
          </w:p>
        </w:tc>
      </w:tr>
      <w:tr w:rsidR="000312CE" w:rsidRPr="00DA662F" w:rsidTr="0067052D">
        <w:trPr>
          <w:trHeight w:val="562"/>
        </w:trPr>
        <w:tc>
          <w:tcPr>
            <w:tcW w:w="4118" w:type="dxa"/>
          </w:tcPr>
          <w:p w:rsidR="000312CE" w:rsidRPr="00DA662F" w:rsidRDefault="009718A5" w:rsidP="00674CCC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Вага пластикових компонентів, визначених у підпункт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пункту 4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</w:t>
            </w:r>
            <w:proofErr w:type="spellEnd"/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482443"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674CCC" w:rsidRPr="00DA66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Технічного регламенту.</w:t>
            </w:r>
          </w:p>
        </w:tc>
        <w:tc>
          <w:tcPr>
            <w:tcW w:w="5387" w:type="dxa"/>
          </w:tcPr>
          <w:p w:rsidR="000312CE" w:rsidRPr="00DA662F" w:rsidRDefault="009718A5" w:rsidP="0067052D">
            <w:pPr>
              <w:ind w:left="147" w:right="1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62F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Визначене значення (*)  не повинно відрізнятися від заявленого значення більше ніж на 5 грамів</w:t>
            </w:r>
          </w:p>
        </w:tc>
      </w:tr>
    </w:tbl>
    <w:p w:rsidR="000312CE" w:rsidRPr="00DA662F" w:rsidRDefault="000312CE">
      <w:pPr>
        <w:pStyle w:val="2"/>
        <w:spacing w:before="0" w:after="0"/>
        <w:ind w:right="45" w:firstLine="57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312CE" w:rsidRPr="00DA662F" w:rsidRDefault="00C97C8F" w:rsidP="009F39C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sz w:val="28"/>
          <w:szCs w:val="28"/>
        </w:rPr>
        <w:t>*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У випадку трьох додаткових одиниць, що </w:t>
      </w:r>
      <w:r w:rsidR="00482443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випробовуються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як зазначено в пункті 4 цього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додатк</w:t>
      </w:r>
      <w:proofErr w:type="spellEnd"/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, визначене значення озн</w:t>
      </w:r>
      <w:r w:rsidR="00674CCC" w:rsidRPr="00DA662F">
        <w:rPr>
          <w:rFonts w:ascii="Times New Roman" w:eastAsia="Times New Roman" w:hAnsi="Times New Roman" w:cs="Times New Roman"/>
          <w:sz w:val="28"/>
          <w:szCs w:val="28"/>
        </w:rPr>
        <w:t xml:space="preserve">ачає середнє арифметичне </w:t>
      </w:r>
      <w:proofErr w:type="spellStart"/>
      <w:r w:rsidR="00674CCC" w:rsidRPr="00DA662F">
        <w:rPr>
          <w:rFonts w:ascii="Times New Roman" w:eastAsia="Times New Roman" w:hAnsi="Times New Roman" w:cs="Times New Roman"/>
          <w:sz w:val="28"/>
          <w:szCs w:val="28"/>
        </w:rPr>
        <w:t>значен</w:t>
      </w:r>
      <w:proofErr w:type="spellEnd"/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>визначен</w:t>
      </w:r>
      <w:proofErr w:type="spellEnd"/>
      <w:r w:rsidR="00674CCC" w:rsidRPr="00DA662F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9718A5" w:rsidRPr="00DA662F">
        <w:rPr>
          <w:rFonts w:ascii="Times New Roman" w:eastAsia="Times New Roman" w:hAnsi="Times New Roman" w:cs="Times New Roman"/>
          <w:sz w:val="28"/>
          <w:szCs w:val="28"/>
        </w:rPr>
        <w:t xml:space="preserve"> для цих трьох додаткових одиниць.</w:t>
      </w:r>
      <w:r w:rsidR="009718A5" w:rsidRPr="00DA66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D11AF" w:rsidRPr="00DA662F" w:rsidRDefault="001D11AF">
      <w:pPr>
        <w:ind w:right="45" w:firstLine="57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90C07" w:rsidRDefault="001D11AF" w:rsidP="001D11AF">
      <w:pPr>
        <w:ind w:right="45" w:firstLine="57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662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_____________________________</w:t>
      </w:r>
    </w:p>
    <w:p w:rsidR="00190C07" w:rsidRPr="00190C07" w:rsidRDefault="00190C07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90C07" w:rsidRDefault="00190C07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1BF5" w:rsidRDefault="00991BF5" w:rsidP="00190C0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E5619" w:rsidRPr="00FE5619" w:rsidRDefault="00FE5619" w:rsidP="00FE5619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FE5619" w:rsidRPr="00FE5619" w:rsidSect="00561641">
      <w:headerReference w:type="default" r:id="rId7"/>
      <w:headerReference w:type="first" r:id="rId8"/>
      <w:footerReference w:type="first" r:id="rId9"/>
      <w:pgSz w:w="11909" w:h="16834"/>
      <w:pgMar w:top="1134" w:right="569" w:bottom="1440" w:left="184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0F" w:rsidRDefault="0003100F">
      <w:pPr>
        <w:spacing w:line="240" w:lineRule="auto"/>
      </w:pPr>
      <w:r>
        <w:separator/>
      </w:r>
    </w:p>
  </w:endnote>
  <w:endnote w:type="continuationSeparator" w:id="0">
    <w:p w:rsidR="0003100F" w:rsidRDefault="00031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CE" w:rsidRDefault="000312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0F" w:rsidRDefault="0003100F">
      <w:pPr>
        <w:spacing w:line="240" w:lineRule="auto"/>
      </w:pPr>
      <w:r>
        <w:separator/>
      </w:r>
    </w:p>
  </w:footnote>
  <w:footnote w:type="continuationSeparator" w:id="0">
    <w:p w:rsidR="0003100F" w:rsidRDefault="00031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CE" w:rsidRDefault="009718A5">
    <w:pPr>
      <w:jc w:val="right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CD7C88">
      <w:rPr>
        <w:rFonts w:ascii="Times New Roman" w:eastAsia="Times New Roman" w:hAnsi="Times New Roman" w:cs="Times New Roman"/>
        <w:noProof/>
        <w:sz w:val="28"/>
        <w:szCs w:val="28"/>
      </w:rPr>
      <w:t>6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sz w:val="28"/>
        <w:szCs w:val="28"/>
      </w:rPr>
      <w:t xml:space="preserve">                      Продовження додатка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2CE" w:rsidRDefault="000312C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12CE"/>
    <w:rsid w:val="0003100F"/>
    <w:rsid w:val="000312CE"/>
    <w:rsid w:val="00037146"/>
    <w:rsid w:val="000C2B14"/>
    <w:rsid w:val="000C57EC"/>
    <w:rsid w:val="000C7E24"/>
    <w:rsid w:val="000D43D7"/>
    <w:rsid w:val="000D724B"/>
    <w:rsid w:val="00121397"/>
    <w:rsid w:val="001405F2"/>
    <w:rsid w:val="0014102E"/>
    <w:rsid w:val="001635EE"/>
    <w:rsid w:val="00190C07"/>
    <w:rsid w:val="001B178E"/>
    <w:rsid w:val="001D105D"/>
    <w:rsid w:val="001D11AF"/>
    <w:rsid w:val="001D71DC"/>
    <w:rsid w:val="002016AF"/>
    <w:rsid w:val="00210355"/>
    <w:rsid w:val="00265E18"/>
    <w:rsid w:val="002B080B"/>
    <w:rsid w:val="002B0D13"/>
    <w:rsid w:val="002D7D1D"/>
    <w:rsid w:val="00325D36"/>
    <w:rsid w:val="00362010"/>
    <w:rsid w:val="00390587"/>
    <w:rsid w:val="003A6F35"/>
    <w:rsid w:val="003A7012"/>
    <w:rsid w:val="003B4D77"/>
    <w:rsid w:val="003E7251"/>
    <w:rsid w:val="003E7B1A"/>
    <w:rsid w:val="00421499"/>
    <w:rsid w:val="00477369"/>
    <w:rsid w:val="00482443"/>
    <w:rsid w:val="004C4EDE"/>
    <w:rsid w:val="004E3B64"/>
    <w:rsid w:val="0050463C"/>
    <w:rsid w:val="00534972"/>
    <w:rsid w:val="00561641"/>
    <w:rsid w:val="0057142D"/>
    <w:rsid w:val="00583F9A"/>
    <w:rsid w:val="0058456B"/>
    <w:rsid w:val="00597C56"/>
    <w:rsid w:val="005C37E7"/>
    <w:rsid w:val="00620FE3"/>
    <w:rsid w:val="0067052D"/>
    <w:rsid w:val="00674CCC"/>
    <w:rsid w:val="006914D3"/>
    <w:rsid w:val="006C66E4"/>
    <w:rsid w:val="006D2458"/>
    <w:rsid w:val="006E26FB"/>
    <w:rsid w:val="0070239A"/>
    <w:rsid w:val="007727DC"/>
    <w:rsid w:val="00784B9A"/>
    <w:rsid w:val="007A0470"/>
    <w:rsid w:val="007A636E"/>
    <w:rsid w:val="007B4BD4"/>
    <w:rsid w:val="007C653E"/>
    <w:rsid w:val="007D396B"/>
    <w:rsid w:val="00817D14"/>
    <w:rsid w:val="00830422"/>
    <w:rsid w:val="00863003"/>
    <w:rsid w:val="00870592"/>
    <w:rsid w:val="008823EB"/>
    <w:rsid w:val="00893531"/>
    <w:rsid w:val="008A3ACF"/>
    <w:rsid w:val="008A5728"/>
    <w:rsid w:val="008B0437"/>
    <w:rsid w:val="008E1AC0"/>
    <w:rsid w:val="008F44A7"/>
    <w:rsid w:val="00902C72"/>
    <w:rsid w:val="009254F5"/>
    <w:rsid w:val="00965AD6"/>
    <w:rsid w:val="009718A5"/>
    <w:rsid w:val="00991BF5"/>
    <w:rsid w:val="009C3713"/>
    <w:rsid w:val="009D2683"/>
    <w:rsid w:val="009E3ED0"/>
    <w:rsid w:val="009E5136"/>
    <w:rsid w:val="009F39C0"/>
    <w:rsid w:val="00A0469C"/>
    <w:rsid w:val="00A04CBA"/>
    <w:rsid w:val="00A0611D"/>
    <w:rsid w:val="00A17876"/>
    <w:rsid w:val="00A43AD2"/>
    <w:rsid w:val="00A70128"/>
    <w:rsid w:val="00AB22B0"/>
    <w:rsid w:val="00AC04FC"/>
    <w:rsid w:val="00AC7807"/>
    <w:rsid w:val="00AF7137"/>
    <w:rsid w:val="00B353F7"/>
    <w:rsid w:val="00B823AD"/>
    <w:rsid w:val="00B8480A"/>
    <w:rsid w:val="00B9154C"/>
    <w:rsid w:val="00BD2268"/>
    <w:rsid w:val="00C15CEE"/>
    <w:rsid w:val="00C25950"/>
    <w:rsid w:val="00C34D81"/>
    <w:rsid w:val="00C631C2"/>
    <w:rsid w:val="00C63DB3"/>
    <w:rsid w:val="00C65AD3"/>
    <w:rsid w:val="00C7125F"/>
    <w:rsid w:val="00C97C8F"/>
    <w:rsid w:val="00CB7BD8"/>
    <w:rsid w:val="00CC1D73"/>
    <w:rsid w:val="00CD4810"/>
    <w:rsid w:val="00CD7C88"/>
    <w:rsid w:val="00D126E9"/>
    <w:rsid w:val="00D128F6"/>
    <w:rsid w:val="00D207CD"/>
    <w:rsid w:val="00D23F37"/>
    <w:rsid w:val="00D324E2"/>
    <w:rsid w:val="00D574FA"/>
    <w:rsid w:val="00D574FC"/>
    <w:rsid w:val="00DA662F"/>
    <w:rsid w:val="00DB0FD2"/>
    <w:rsid w:val="00DD2325"/>
    <w:rsid w:val="00DD70E0"/>
    <w:rsid w:val="00E46F9C"/>
    <w:rsid w:val="00E62962"/>
    <w:rsid w:val="00EA6320"/>
    <w:rsid w:val="00EC2429"/>
    <w:rsid w:val="00EC7C91"/>
    <w:rsid w:val="00F00E53"/>
    <w:rsid w:val="00F01EBD"/>
    <w:rsid w:val="00F11968"/>
    <w:rsid w:val="00F12F5C"/>
    <w:rsid w:val="00F211ED"/>
    <w:rsid w:val="00F22C2B"/>
    <w:rsid w:val="00F66B7F"/>
    <w:rsid w:val="00FA601F"/>
    <w:rsid w:val="00FB5064"/>
    <w:rsid w:val="00FD0090"/>
    <w:rsid w:val="00FE5619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116" w:type="dxa"/>
        <w:left w:w="2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top w:w="115" w:type="dxa"/>
        <w:left w:w="2" w:type="dxa"/>
        <w:bottom w:w="99" w:type="dxa"/>
      </w:tblCellMar>
    </w:tblPr>
  </w:style>
  <w:style w:type="paragraph" w:styleId="a7">
    <w:name w:val="List Paragraph"/>
    <w:basedOn w:val="a"/>
    <w:uiPriority w:val="34"/>
    <w:qFormat/>
    <w:rsid w:val="004E3B64"/>
    <w:pPr>
      <w:spacing w:after="200"/>
      <w:ind w:left="720"/>
      <w:contextualSpacing/>
    </w:pPr>
    <w:rPr>
      <w:rFonts w:asciiTheme="minorHAnsi" w:eastAsiaTheme="minorEastAsia" w:hAnsiTheme="minorHAnsi" w:cstheme="minorBidi"/>
      <w:lang w:val="ru-RU"/>
    </w:rPr>
  </w:style>
  <w:style w:type="paragraph" w:customStyle="1" w:styleId="a8">
    <w:name w:val="Стиль"/>
    <w:uiPriority w:val="99"/>
    <w:rsid w:val="004E3B6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 w:eastAsia="en-US"/>
    </w:rPr>
  </w:style>
  <w:style w:type="paragraph" w:customStyle="1" w:styleId="title-table">
    <w:name w:val="title-table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italics">
    <w:name w:val="italics"/>
    <w:basedOn w:val="a0"/>
    <w:rsid w:val="00190C07"/>
  </w:style>
  <w:style w:type="character" w:customStyle="1" w:styleId="boldface">
    <w:name w:val="boldface"/>
    <w:basedOn w:val="a0"/>
    <w:rsid w:val="00190C07"/>
  </w:style>
  <w:style w:type="paragraph" w:customStyle="1" w:styleId="hd-column">
    <w:name w:val="hd-column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bl-norm">
    <w:name w:val="tbl-norm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subscript">
    <w:name w:val="subscript"/>
    <w:basedOn w:val="a0"/>
    <w:rsid w:val="00190C07"/>
  </w:style>
  <w:style w:type="character" w:styleId="a9">
    <w:name w:val="Hyperlink"/>
    <w:basedOn w:val="a0"/>
    <w:uiPriority w:val="99"/>
    <w:semiHidden/>
    <w:unhideWhenUsed/>
    <w:rsid w:val="00190C07"/>
    <w:rPr>
      <w:color w:val="0000FF"/>
      <w:u w:val="single"/>
    </w:rPr>
  </w:style>
  <w:style w:type="character" w:customStyle="1" w:styleId="superscript">
    <w:name w:val="superscript"/>
    <w:basedOn w:val="a0"/>
    <w:rsid w:val="00190C07"/>
  </w:style>
  <w:style w:type="paragraph" w:customStyle="1" w:styleId="modref">
    <w:name w:val="modref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inline-element">
    <w:name w:val="inline-element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Normal (Web)"/>
    <w:basedOn w:val="a"/>
    <w:uiPriority w:val="99"/>
    <w:semiHidden/>
    <w:unhideWhenUsed/>
    <w:rsid w:val="00FE5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D22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2268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67052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116" w:type="dxa"/>
        <w:left w:w="2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top w:w="115" w:type="dxa"/>
        <w:left w:w="2" w:type="dxa"/>
        <w:bottom w:w="99" w:type="dxa"/>
      </w:tblCellMar>
    </w:tblPr>
  </w:style>
  <w:style w:type="paragraph" w:styleId="a7">
    <w:name w:val="List Paragraph"/>
    <w:basedOn w:val="a"/>
    <w:uiPriority w:val="34"/>
    <w:qFormat/>
    <w:rsid w:val="004E3B64"/>
    <w:pPr>
      <w:spacing w:after="200"/>
      <w:ind w:left="720"/>
      <w:contextualSpacing/>
    </w:pPr>
    <w:rPr>
      <w:rFonts w:asciiTheme="minorHAnsi" w:eastAsiaTheme="minorEastAsia" w:hAnsiTheme="minorHAnsi" w:cstheme="minorBidi"/>
      <w:lang w:val="ru-RU"/>
    </w:rPr>
  </w:style>
  <w:style w:type="paragraph" w:customStyle="1" w:styleId="a8">
    <w:name w:val="Стиль"/>
    <w:uiPriority w:val="99"/>
    <w:rsid w:val="004E3B6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 w:eastAsia="en-US"/>
    </w:rPr>
  </w:style>
  <w:style w:type="paragraph" w:customStyle="1" w:styleId="title-table">
    <w:name w:val="title-table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italics">
    <w:name w:val="italics"/>
    <w:basedOn w:val="a0"/>
    <w:rsid w:val="00190C07"/>
  </w:style>
  <w:style w:type="character" w:customStyle="1" w:styleId="boldface">
    <w:name w:val="boldface"/>
    <w:basedOn w:val="a0"/>
    <w:rsid w:val="00190C07"/>
  </w:style>
  <w:style w:type="paragraph" w:customStyle="1" w:styleId="hd-column">
    <w:name w:val="hd-column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bl-norm">
    <w:name w:val="tbl-norm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subscript">
    <w:name w:val="subscript"/>
    <w:basedOn w:val="a0"/>
    <w:rsid w:val="00190C07"/>
  </w:style>
  <w:style w:type="character" w:styleId="a9">
    <w:name w:val="Hyperlink"/>
    <w:basedOn w:val="a0"/>
    <w:uiPriority w:val="99"/>
    <w:semiHidden/>
    <w:unhideWhenUsed/>
    <w:rsid w:val="00190C07"/>
    <w:rPr>
      <w:color w:val="0000FF"/>
      <w:u w:val="single"/>
    </w:rPr>
  </w:style>
  <w:style w:type="character" w:customStyle="1" w:styleId="superscript">
    <w:name w:val="superscript"/>
    <w:basedOn w:val="a0"/>
    <w:rsid w:val="00190C07"/>
  </w:style>
  <w:style w:type="paragraph" w:customStyle="1" w:styleId="modref">
    <w:name w:val="modref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inline-element">
    <w:name w:val="inline-element"/>
    <w:basedOn w:val="a"/>
    <w:rsid w:val="0019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Normal (Web)"/>
    <w:basedOn w:val="a"/>
    <w:uiPriority w:val="99"/>
    <w:semiHidden/>
    <w:unhideWhenUsed/>
    <w:rsid w:val="00FE5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D22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2268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67052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5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6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Radchenko</cp:lastModifiedBy>
  <cp:revision>83</cp:revision>
  <cp:lastPrinted>2023-10-16T13:13:00Z</cp:lastPrinted>
  <dcterms:created xsi:type="dcterms:W3CDTF">2023-04-07T07:17:00Z</dcterms:created>
  <dcterms:modified xsi:type="dcterms:W3CDTF">2023-10-16T13:16:00Z</dcterms:modified>
</cp:coreProperties>
</file>