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9A" w:rsidRDefault="00AC191E" w:rsidP="00AC191E">
      <w:pPr>
        <w:pStyle w:val="rvps7"/>
        <w:shd w:val="clear" w:color="auto" w:fill="FFFFFF" w:themeFill="background1"/>
        <w:spacing w:before="0" w:beforeAutospacing="0" w:after="0" w:afterAutospacing="0"/>
        <w:ind w:left="450" w:right="450"/>
        <w:jc w:val="right"/>
        <w:rPr>
          <w:b/>
          <w:bCs/>
          <w:color w:val="000000" w:themeColor="text1"/>
          <w:sz w:val="28"/>
          <w:szCs w:val="28"/>
          <w:lang w:val="uk-UA"/>
        </w:rPr>
      </w:pPr>
      <w:r w:rsidRPr="00F4002A">
        <w:rPr>
          <w:b/>
          <w:bCs/>
          <w:color w:val="000000" w:themeColor="text1"/>
          <w:sz w:val="28"/>
          <w:szCs w:val="28"/>
          <w:lang w:val="uk-UA"/>
        </w:rPr>
        <w:t>Додаток 7</w:t>
      </w:r>
    </w:p>
    <w:p w:rsidR="00AC191E" w:rsidRPr="00F4002A" w:rsidRDefault="00AC191E" w:rsidP="00AC191E">
      <w:pPr>
        <w:pStyle w:val="rvps7"/>
        <w:shd w:val="clear" w:color="auto" w:fill="FFFFFF" w:themeFill="background1"/>
        <w:spacing w:before="0" w:beforeAutospacing="0" w:after="0" w:afterAutospacing="0"/>
        <w:ind w:left="450" w:right="450"/>
        <w:jc w:val="right"/>
        <w:rPr>
          <w:rStyle w:val="rvts15"/>
          <w:rFonts w:eastAsiaTheme="majorEastAsia"/>
          <w:b/>
          <w:bCs/>
          <w:color w:val="000000" w:themeColor="text1"/>
          <w:sz w:val="28"/>
          <w:szCs w:val="28"/>
          <w:lang w:val="uk-UA"/>
        </w:rPr>
      </w:pPr>
      <w:r w:rsidRPr="00F4002A">
        <w:rPr>
          <w:b/>
          <w:bCs/>
          <w:color w:val="000000" w:themeColor="text1"/>
          <w:sz w:val="28"/>
          <w:szCs w:val="28"/>
          <w:lang w:val="uk-UA"/>
        </w:rPr>
        <w:t>до Технічного регламенту</w:t>
      </w:r>
    </w:p>
    <w:p w:rsidR="00AC191E" w:rsidRPr="00D73AD4"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bCs/>
          <w:color w:val="333333"/>
          <w:sz w:val="28"/>
          <w:szCs w:val="28"/>
          <w:lang w:val="uk-UA"/>
        </w:rPr>
      </w:pPr>
    </w:p>
    <w:p w:rsidR="000A7B9A"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r w:rsidRPr="00D73AD4">
        <w:rPr>
          <w:rStyle w:val="rvts15"/>
          <w:rFonts w:eastAsiaTheme="majorEastAsia"/>
          <w:b/>
          <w:color w:val="000000" w:themeColor="text1"/>
          <w:sz w:val="28"/>
          <w:szCs w:val="28"/>
          <w:lang w:val="uk-UA"/>
        </w:rPr>
        <w:t>ФОРМА</w:t>
      </w:r>
    </w:p>
    <w:p w:rsidR="00AC191E" w:rsidRPr="00D73AD4" w:rsidRDefault="00AC191E" w:rsidP="00AC191E">
      <w:pPr>
        <w:pStyle w:val="rvps7"/>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r w:rsidRPr="00D73AD4">
        <w:rPr>
          <w:rStyle w:val="rvts15"/>
          <w:rFonts w:eastAsiaTheme="majorEastAsia"/>
          <w:b/>
          <w:color w:val="000000" w:themeColor="text1"/>
          <w:sz w:val="28"/>
          <w:szCs w:val="28"/>
          <w:lang w:val="uk-UA"/>
        </w:rPr>
        <w:t>звітів призначених органів з оцінки відповідності про діяльність з оцінки відповідності палив вимогам Технічного регламенту щодо вимог до автомобільних бензинів, дизельного, суднових та котельних палив за літній період та один місяць перехідного періоду та за зимовий період та один місяць перехідного періоду</w:t>
      </w:r>
    </w:p>
    <w:p w:rsidR="00AC191E" w:rsidRPr="00D73AD4" w:rsidRDefault="00AC191E" w:rsidP="00AC191E">
      <w:pPr>
        <w:pStyle w:val="rvps7"/>
        <w:shd w:val="clear" w:color="auto" w:fill="FFFFFF" w:themeFill="background1"/>
        <w:spacing w:before="0" w:beforeAutospacing="0" w:after="0" w:afterAutospacing="0"/>
        <w:ind w:left="450" w:right="450"/>
        <w:jc w:val="center"/>
        <w:rPr>
          <w:color w:val="000000" w:themeColor="text1"/>
          <w:sz w:val="28"/>
          <w:szCs w:val="28"/>
          <w:lang w:val="uk-UA"/>
        </w:rPr>
      </w:pPr>
    </w:p>
    <w:tbl>
      <w:tblPr>
        <w:tblW w:w="5000" w:type="pct"/>
        <w:tblBorders>
          <w:insideH w:val="single" w:sz="2" w:space="0" w:color="auto"/>
        </w:tblBorders>
        <w:tblCellMar>
          <w:left w:w="0" w:type="dxa"/>
          <w:right w:w="0" w:type="dxa"/>
        </w:tblCellMar>
        <w:tblLook w:val="04A0" w:firstRow="1" w:lastRow="0" w:firstColumn="1" w:lastColumn="0" w:noHBand="0" w:noVBand="1"/>
      </w:tblPr>
      <w:tblGrid>
        <w:gridCol w:w="4564"/>
        <w:gridCol w:w="4791"/>
      </w:tblGrid>
      <w:tr w:rsidR="00AC191E" w:rsidRPr="000A7B9A" w:rsidTr="0054516C">
        <w:trPr>
          <w:trHeight w:val="3080"/>
        </w:trPr>
        <w:tc>
          <w:tcPr>
            <w:tcW w:w="4800" w:type="dxa"/>
            <w:hideMark/>
          </w:tcPr>
          <w:p w:rsidR="00AC191E" w:rsidRPr="00D73AD4" w:rsidRDefault="00AC191E" w:rsidP="0054516C">
            <w:pPr>
              <w:pStyle w:val="rvps14"/>
              <w:spacing w:before="0" w:beforeAutospacing="0" w:after="0" w:afterAutospacing="0"/>
              <w:rPr>
                <w:color w:val="000000" w:themeColor="text1"/>
                <w:sz w:val="28"/>
                <w:szCs w:val="28"/>
                <w:lang w:val="uk-UA"/>
              </w:rPr>
            </w:pPr>
          </w:p>
        </w:tc>
        <w:tc>
          <w:tcPr>
            <w:tcW w:w="4800" w:type="dxa"/>
            <w:hideMark/>
          </w:tcPr>
          <w:p w:rsidR="000A7B9A" w:rsidRDefault="00AC191E" w:rsidP="000A7B9A">
            <w:pPr>
              <w:pStyle w:val="rvps12"/>
              <w:spacing w:before="0" w:beforeAutospacing="0" w:after="0" w:afterAutospacing="0"/>
              <w:jc w:val="center"/>
              <w:rPr>
                <w:color w:val="000000" w:themeColor="text1"/>
                <w:sz w:val="28"/>
                <w:szCs w:val="28"/>
                <w:lang w:val="uk-UA"/>
              </w:rPr>
            </w:pPr>
            <w:r w:rsidRPr="00D73AD4">
              <w:rPr>
                <w:color w:val="000000" w:themeColor="text1"/>
                <w:sz w:val="28"/>
                <w:szCs w:val="28"/>
                <w:lang w:val="uk-UA"/>
              </w:rPr>
              <w:t>ЗАТВЕРДЖУЮ</w:t>
            </w:r>
          </w:p>
          <w:p w:rsidR="000A7B9A" w:rsidRDefault="00AC191E" w:rsidP="000A7B9A">
            <w:pPr>
              <w:pStyle w:val="rvps12"/>
              <w:spacing w:before="0" w:beforeAutospacing="0" w:after="0" w:afterAutospacing="0"/>
              <w:jc w:val="center"/>
              <w:rPr>
                <w:rStyle w:val="rvts82"/>
                <w:rFonts w:eastAsiaTheme="majorEastAsia"/>
                <w:color w:val="000000" w:themeColor="text1"/>
                <w:sz w:val="28"/>
                <w:szCs w:val="28"/>
                <w:lang w:val="uk-UA"/>
              </w:rPr>
            </w:pPr>
            <w:r w:rsidRPr="00D73AD4">
              <w:rPr>
                <w:color w:val="000000" w:themeColor="text1"/>
                <w:sz w:val="28"/>
                <w:szCs w:val="28"/>
                <w:lang w:val="uk-UA"/>
              </w:rPr>
              <w:t>Керівник органу оцінки відповідності</w:t>
            </w:r>
            <w:r w:rsidRPr="00D73AD4">
              <w:rPr>
                <w:lang w:val="uk-UA"/>
              </w:rPr>
              <w:br/>
            </w:r>
            <w:r w:rsidRPr="00D73AD4">
              <w:rPr>
                <w:color w:val="000000" w:themeColor="text1"/>
                <w:sz w:val="28"/>
                <w:szCs w:val="28"/>
                <w:lang w:val="uk-UA"/>
              </w:rPr>
              <w:t>_________________________________</w:t>
            </w:r>
            <w:r w:rsidRPr="00D73AD4">
              <w:rPr>
                <w:lang w:val="uk-UA"/>
              </w:rPr>
              <w:br/>
            </w:r>
            <w:r w:rsidRPr="00D73AD4">
              <w:rPr>
                <w:rStyle w:val="rvts82"/>
                <w:rFonts w:eastAsiaTheme="majorEastAsia"/>
                <w:color w:val="000000" w:themeColor="text1"/>
                <w:sz w:val="28"/>
                <w:szCs w:val="28"/>
                <w:lang w:val="uk-UA"/>
              </w:rPr>
              <w:t>(посада)</w:t>
            </w:r>
          </w:p>
          <w:p w:rsidR="000A7B9A" w:rsidRDefault="00AC191E" w:rsidP="000A7B9A">
            <w:pPr>
              <w:pStyle w:val="rvps12"/>
              <w:spacing w:before="0" w:beforeAutospacing="0" w:after="0" w:afterAutospacing="0"/>
              <w:jc w:val="center"/>
              <w:rPr>
                <w:rStyle w:val="rvts82"/>
                <w:rFonts w:eastAsiaTheme="majorEastAsia"/>
                <w:color w:val="000000" w:themeColor="text1"/>
                <w:sz w:val="28"/>
                <w:szCs w:val="28"/>
                <w:lang w:val="uk-UA"/>
              </w:rPr>
            </w:pPr>
            <w:r w:rsidRPr="00D73AD4">
              <w:rPr>
                <w:color w:val="000000" w:themeColor="text1"/>
                <w:sz w:val="28"/>
                <w:szCs w:val="28"/>
                <w:lang w:val="uk-UA"/>
              </w:rPr>
              <w:t>_________________________________</w:t>
            </w:r>
            <w:r w:rsidRPr="00D73AD4">
              <w:rPr>
                <w:lang w:val="uk-UA"/>
              </w:rPr>
              <w:br/>
            </w:r>
            <w:r w:rsidRPr="00D73AD4">
              <w:rPr>
                <w:rStyle w:val="rvts82"/>
                <w:rFonts w:eastAsiaTheme="majorEastAsia"/>
                <w:color w:val="000000" w:themeColor="text1"/>
                <w:sz w:val="28"/>
                <w:szCs w:val="28"/>
                <w:lang w:val="uk-UA"/>
              </w:rPr>
              <w:t>(ініціали та прізвище)</w:t>
            </w:r>
          </w:p>
          <w:p w:rsidR="000A7B9A" w:rsidRDefault="000A7B9A" w:rsidP="000A7B9A">
            <w:pPr>
              <w:pStyle w:val="rvps12"/>
              <w:spacing w:before="0" w:beforeAutospacing="0" w:after="0" w:afterAutospacing="0"/>
              <w:jc w:val="center"/>
              <w:rPr>
                <w:rStyle w:val="rvts82"/>
                <w:rFonts w:eastAsiaTheme="majorEastAsia"/>
                <w:color w:val="000000" w:themeColor="text1"/>
                <w:sz w:val="28"/>
                <w:szCs w:val="28"/>
                <w:lang w:val="uk-UA"/>
              </w:rPr>
            </w:pPr>
          </w:p>
          <w:p w:rsidR="00AC191E" w:rsidRPr="00D73AD4" w:rsidRDefault="00AC191E" w:rsidP="000A7B9A">
            <w:pPr>
              <w:pStyle w:val="rvps12"/>
              <w:spacing w:before="0" w:beforeAutospacing="0" w:after="0" w:afterAutospacing="0"/>
              <w:jc w:val="center"/>
              <w:rPr>
                <w:color w:val="000000" w:themeColor="text1"/>
                <w:sz w:val="28"/>
                <w:szCs w:val="28"/>
                <w:lang w:val="uk-UA"/>
              </w:rPr>
            </w:pPr>
            <w:r w:rsidRPr="00D73AD4">
              <w:rPr>
                <w:color w:val="000000" w:themeColor="text1"/>
                <w:sz w:val="28"/>
                <w:szCs w:val="28"/>
                <w:lang w:val="uk-UA"/>
              </w:rPr>
              <w:t>Дата</w:t>
            </w:r>
          </w:p>
        </w:tc>
      </w:tr>
    </w:tbl>
    <w:p w:rsidR="000A7B9A" w:rsidRDefault="00AC191E" w:rsidP="00AC191E">
      <w:pPr>
        <w:pStyle w:val="rvps7"/>
        <w:pBdr>
          <w:bottom w:val="single" w:sz="12" w:space="1" w:color="auto"/>
        </w:pBdr>
        <w:shd w:val="clear" w:color="auto" w:fill="FFFFFF" w:themeFill="background1"/>
        <w:spacing w:before="0" w:beforeAutospacing="0" w:after="0" w:afterAutospacing="0"/>
        <w:ind w:left="450" w:right="450"/>
        <w:jc w:val="center"/>
        <w:rPr>
          <w:rStyle w:val="rvts15"/>
          <w:rFonts w:eastAsiaTheme="majorEastAsia"/>
          <w:b/>
          <w:color w:val="000000" w:themeColor="text1"/>
          <w:sz w:val="28"/>
          <w:szCs w:val="28"/>
          <w:lang w:val="uk-UA"/>
        </w:rPr>
      </w:pPr>
      <w:bookmarkStart w:id="0" w:name="n247"/>
      <w:bookmarkEnd w:id="0"/>
      <w:r w:rsidRPr="00D73AD4">
        <w:rPr>
          <w:rStyle w:val="rvts15"/>
          <w:rFonts w:eastAsiaTheme="majorEastAsia"/>
          <w:b/>
          <w:color w:val="000000" w:themeColor="text1"/>
          <w:sz w:val="28"/>
          <w:szCs w:val="28"/>
          <w:lang w:val="uk-UA"/>
        </w:rPr>
        <w:t>ЗВІТ</w:t>
      </w:r>
    </w:p>
    <w:p w:rsidR="000A7B9A" w:rsidRDefault="00AC191E" w:rsidP="00AC191E">
      <w:pPr>
        <w:pStyle w:val="rvps7"/>
        <w:shd w:val="clear" w:color="auto" w:fill="FFFFFF" w:themeFill="background1"/>
        <w:spacing w:before="0" w:beforeAutospacing="0" w:after="0" w:afterAutospacing="0"/>
        <w:ind w:left="450" w:right="450"/>
        <w:jc w:val="center"/>
        <w:rPr>
          <w:rStyle w:val="rvts82"/>
          <w:rFonts w:eastAsiaTheme="majorEastAsia"/>
          <w:color w:val="000000" w:themeColor="text1"/>
          <w:sz w:val="28"/>
          <w:szCs w:val="28"/>
          <w:lang w:val="uk-UA"/>
        </w:rPr>
      </w:pPr>
      <w:r w:rsidRPr="00D73AD4">
        <w:rPr>
          <w:rStyle w:val="rvts82"/>
          <w:rFonts w:eastAsiaTheme="majorEastAsia"/>
          <w:color w:val="000000" w:themeColor="text1"/>
          <w:sz w:val="28"/>
          <w:szCs w:val="28"/>
          <w:lang w:val="uk-UA"/>
        </w:rPr>
        <w:t>(назва органу з оцінки відповідності)</w:t>
      </w:r>
    </w:p>
    <w:p w:rsidR="00AC191E" w:rsidRPr="00D73AD4" w:rsidRDefault="00AC191E" w:rsidP="00AC191E">
      <w:pPr>
        <w:pStyle w:val="rvps7"/>
        <w:shd w:val="clear" w:color="auto" w:fill="FFFFFF" w:themeFill="background1"/>
        <w:spacing w:before="0" w:beforeAutospacing="0" w:after="0" w:afterAutospacing="0"/>
        <w:ind w:left="450" w:right="450"/>
        <w:jc w:val="center"/>
        <w:rPr>
          <w:color w:val="000000" w:themeColor="text1"/>
          <w:sz w:val="28"/>
          <w:szCs w:val="28"/>
          <w:lang w:val="uk-UA"/>
        </w:rPr>
      </w:pPr>
      <w:r w:rsidRPr="00D73AD4">
        <w:rPr>
          <w:rStyle w:val="rvts15"/>
          <w:rFonts w:eastAsiaTheme="majorEastAsia"/>
          <w:b/>
          <w:color w:val="000000" w:themeColor="text1"/>
          <w:sz w:val="28"/>
          <w:szCs w:val="28"/>
          <w:lang w:val="uk-UA"/>
        </w:rPr>
        <w:t>про діяльність з оцінки відповідності палив вимогам Технічного регламенту щодо вимог до палив моторних альтернативних за період з _________ по ________</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 w:name="n248"/>
      <w:bookmarkEnd w:id="1"/>
      <w:r w:rsidRPr="00D73AD4">
        <w:rPr>
          <w:color w:val="000000" w:themeColor="text1"/>
          <w:sz w:val="28"/>
          <w:szCs w:val="28"/>
          <w:lang w:val="uk-UA"/>
        </w:rPr>
        <w:t>1. Керівник органу з оцінки відповідності (ім’я та прізвище, номер контактного телефону, адреса електронної пошти, офіційний веб-сайт органу з оцінки відповідності).</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2" w:name="n249"/>
      <w:bookmarkEnd w:id="2"/>
      <w:r w:rsidRPr="00D73AD4">
        <w:rPr>
          <w:color w:val="000000" w:themeColor="text1"/>
          <w:sz w:val="28"/>
          <w:szCs w:val="28"/>
          <w:lang w:val="uk-UA"/>
        </w:rPr>
        <w:t>2. Копія атестата про акредитацію разом з додатком (станом на 15 травня або 15 грудня).</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3" w:name="n250"/>
      <w:bookmarkEnd w:id="3"/>
      <w:r w:rsidRPr="00D73AD4">
        <w:rPr>
          <w:color w:val="000000" w:themeColor="text1"/>
          <w:sz w:val="28"/>
          <w:szCs w:val="28"/>
          <w:lang w:val="uk-UA"/>
        </w:rPr>
        <w:t xml:space="preserve">3. Інформація про персонал у сфері дії Технічного регламенту щодо вимог </w:t>
      </w:r>
      <w:r w:rsidRPr="00D73AD4">
        <w:rPr>
          <w:rStyle w:val="rvts15"/>
          <w:rFonts w:eastAsiaTheme="majorEastAsia"/>
          <w:color w:val="000000" w:themeColor="text1"/>
          <w:sz w:val="28"/>
          <w:szCs w:val="28"/>
          <w:lang w:val="uk-UA"/>
        </w:rPr>
        <w:t>до палив моторних альтернативних</w:t>
      </w:r>
      <w:r w:rsidRPr="00D73AD4">
        <w:rPr>
          <w:color w:val="000000" w:themeColor="text1"/>
          <w:sz w:val="28"/>
          <w:szCs w:val="28"/>
          <w:lang w:val="uk-UA"/>
        </w:rPr>
        <w:t xml:space="preserve"> (далі - Технічний регламент).</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4" w:name="n251"/>
      <w:bookmarkEnd w:id="4"/>
      <w:r w:rsidRPr="00D73AD4">
        <w:rPr>
          <w:color w:val="000000" w:themeColor="text1"/>
          <w:sz w:val="28"/>
          <w:szCs w:val="28"/>
          <w:lang w:val="uk-UA"/>
        </w:rPr>
        <w:t>4. Інформація про акредитовані випробувальні лабораторії, з якими орган з оцінки відповідності співпрацює під час проведення робіт з оцінки відповідності альтернативних палив вимогам Технічного регламенту. Надати посилання на офіційний веб-сайт Національного агентства з акредитації або на веб-сайт акредитованих випробувальних лабораторій, де розміщено копії атестатів про акредитацію зазначених випробувальних лабораторій та додатків до них (станом на 15 травня або 15 грудня), або надати в електронній формі копії атестатів про акредитацію зазначених випробувальних лабораторій та додатків до них.</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5" w:name="n252"/>
      <w:bookmarkEnd w:id="5"/>
      <w:r w:rsidRPr="00D73AD4">
        <w:rPr>
          <w:color w:val="000000" w:themeColor="text1"/>
          <w:sz w:val="28"/>
          <w:szCs w:val="28"/>
          <w:lang w:val="uk-UA"/>
        </w:rPr>
        <w:t>5. Перелік нормативно-правових актів, які застосовуються під час проведення оцінки відповідності палив вимогам Технічного регламенту.</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6" w:name="n253"/>
      <w:bookmarkEnd w:id="6"/>
      <w:r w:rsidRPr="00D73AD4">
        <w:rPr>
          <w:color w:val="000000" w:themeColor="text1"/>
          <w:sz w:val="28"/>
          <w:szCs w:val="28"/>
          <w:lang w:val="uk-UA"/>
        </w:rPr>
        <w:lastRenderedPageBreak/>
        <w:t>6. Інформація про:</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7" w:name="n254"/>
      <w:bookmarkEnd w:id="7"/>
      <w:r w:rsidRPr="00D73AD4">
        <w:rPr>
          <w:color w:val="000000" w:themeColor="text1"/>
          <w:sz w:val="28"/>
          <w:szCs w:val="28"/>
          <w:lang w:val="uk-UA"/>
        </w:rPr>
        <w:t>підготовку (перепідготовку) персоналу, який проводить відбір проб;</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8" w:name="n255"/>
      <w:bookmarkEnd w:id="8"/>
      <w:r w:rsidRPr="00D73AD4">
        <w:rPr>
          <w:color w:val="000000" w:themeColor="text1"/>
          <w:sz w:val="28"/>
          <w:szCs w:val="28"/>
          <w:lang w:val="uk-UA"/>
        </w:rPr>
        <w:t>копії укладених договорів щодо забезпечення відбору проб на місцях;</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9" w:name="n256"/>
      <w:bookmarkEnd w:id="9"/>
      <w:r w:rsidRPr="00D73AD4">
        <w:rPr>
          <w:color w:val="000000" w:themeColor="text1"/>
          <w:sz w:val="28"/>
          <w:szCs w:val="28"/>
          <w:lang w:val="uk-UA"/>
        </w:rPr>
        <w:t>копії протоколів відбору проб окремо для автомобільного бензину, дизельного палива, суднового котельного палива (мазуту) (по одній копії).</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0" w:name="n257"/>
      <w:bookmarkEnd w:id="10"/>
      <w:r w:rsidRPr="00D73AD4">
        <w:rPr>
          <w:color w:val="000000" w:themeColor="text1"/>
          <w:sz w:val="28"/>
          <w:szCs w:val="28"/>
          <w:lang w:val="uk-UA"/>
        </w:rPr>
        <w:t>7. Назва розділу на офіційному веб-сайті органу з оцінки відповідності, в якому міститься поточна інформація про видані сертифікати відповідності про відповідність палив вимогам Технічного регламенту.</w:t>
      </w:r>
    </w:p>
    <w:p w:rsidR="00AC191E" w:rsidRPr="00D73AD4" w:rsidRDefault="00AC191E" w:rsidP="00DE1DF8">
      <w:pPr>
        <w:pStyle w:val="rvps2"/>
        <w:shd w:val="clear" w:color="auto" w:fill="FFFFFF" w:themeFill="background1"/>
        <w:spacing w:before="120" w:beforeAutospacing="0" w:after="120" w:afterAutospacing="0"/>
        <w:ind w:firstLine="448"/>
        <w:jc w:val="both"/>
        <w:rPr>
          <w:color w:val="000000" w:themeColor="text1"/>
          <w:sz w:val="28"/>
          <w:szCs w:val="28"/>
          <w:lang w:val="uk-UA"/>
        </w:rPr>
      </w:pPr>
      <w:bookmarkStart w:id="11" w:name="n258"/>
      <w:bookmarkEnd w:id="11"/>
      <w:r w:rsidRPr="00D73AD4">
        <w:rPr>
          <w:color w:val="000000" w:themeColor="text1"/>
          <w:sz w:val="28"/>
          <w:szCs w:val="28"/>
          <w:lang w:val="uk-UA"/>
        </w:rPr>
        <w:t>8. Узагальнена інформація про кількість виданих сертифікатів відповідності щокварталу за відповідний період (станом на 15 травня або 15 грудня) за такою формою:</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0" w:type="dxa"/>
          <w:left w:w="80" w:type="dxa"/>
          <w:bottom w:w="80" w:type="dxa"/>
          <w:right w:w="80" w:type="dxa"/>
        </w:tblCellMar>
        <w:tblLook w:val="04A0" w:firstRow="1" w:lastRow="0" w:firstColumn="1" w:lastColumn="0" w:noHBand="0" w:noVBand="1"/>
      </w:tblPr>
      <w:tblGrid>
        <w:gridCol w:w="2966"/>
        <w:gridCol w:w="3298"/>
        <w:gridCol w:w="3251"/>
      </w:tblGrid>
      <w:tr w:rsidR="00AC191E" w:rsidRPr="002133BD" w:rsidTr="0054516C">
        <w:tc>
          <w:tcPr>
            <w:tcW w:w="2820" w:type="dxa"/>
            <w:vMerge w:val="restart"/>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bookmarkStart w:id="12" w:name="n259"/>
            <w:bookmarkEnd w:id="12"/>
            <w:r w:rsidRPr="00D73AD4">
              <w:rPr>
                <w:color w:val="000000" w:themeColor="text1"/>
                <w:sz w:val="28"/>
                <w:szCs w:val="28"/>
                <w:lang w:val="uk-UA"/>
              </w:rPr>
              <w:t>____ квартал 20___ р.</w:t>
            </w:r>
          </w:p>
        </w:tc>
        <w:tc>
          <w:tcPr>
            <w:tcW w:w="6225" w:type="dxa"/>
            <w:gridSpan w:val="2"/>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Загальна кількість виданих сертифікатів відповідності за квартал</w:t>
            </w:r>
          </w:p>
        </w:tc>
      </w:tr>
      <w:tr w:rsidR="00AC191E" w:rsidRPr="002133BD" w:rsidTr="0054516C">
        <w:tc>
          <w:tcPr>
            <w:tcW w:w="0" w:type="auto"/>
            <w:vMerge/>
            <w:hideMark/>
          </w:tcPr>
          <w:p w:rsidR="00AC191E" w:rsidRPr="00D73AD4" w:rsidRDefault="00AC191E" w:rsidP="00DE1DF8">
            <w:pPr>
              <w:spacing w:before="120" w:after="120"/>
              <w:rPr>
                <w:lang w:val="uk-UA"/>
              </w:rPr>
            </w:pPr>
          </w:p>
        </w:tc>
        <w:tc>
          <w:tcPr>
            <w:tcW w:w="3135" w:type="dxa"/>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мінімальна кількість виданих сертифікатів відповідності за один день</w:t>
            </w:r>
          </w:p>
        </w:tc>
        <w:tc>
          <w:tcPr>
            <w:tcW w:w="2970" w:type="dxa"/>
            <w:hideMark/>
          </w:tcPr>
          <w:p w:rsidR="00AC191E" w:rsidRPr="00D73AD4" w:rsidRDefault="00AC191E" w:rsidP="00DE1DF8">
            <w:pPr>
              <w:pStyle w:val="rvps12"/>
              <w:spacing w:before="120" w:beforeAutospacing="0" w:after="120" w:afterAutospacing="0"/>
              <w:jc w:val="center"/>
              <w:rPr>
                <w:color w:val="000000" w:themeColor="text1"/>
                <w:sz w:val="28"/>
                <w:szCs w:val="28"/>
                <w:lang w:val="uk-UA"/>
              </w:rPr>
            </w:pPr>
            <w:r w:rsidRPr="00D73AD4">
              <w:rPr>
                <w:color w:val="000000" w:themeColor="text1"/>
                <w:sz w:val="28"/>
                <w:szCs w:val="28"/>
                <w:lang w:val="uk-UA"/>
              </w:rPr>
              <w:t>максимальна кількість виданих сертифікатів відповідності за один день</w:t>
            </w:r>
          </w:p>
        </w:tc>
      </w:tr>
    </w:tbl>
    <w:p w:rsidR="00AC191E" w:rsidRPr="00D73AD4" w:rsidRDefault="00AC191E" w:rsidP="00DE1DF8">
      <w:pPr>
        <w:pStyle w:val="rvps2"/>
        <w:shd w:val="clear" w:color="auto" w:fill="FFFFFF" w:themeFill="background1"/>
        <w:spacing w:before="120" w:beforeAutospacing="0" w:after="120" w:afterAutospacing="0"/>
        <w:ind w:firstLine="448"/>
        <w:jc w:val="both"/>
        <w:rPr>
          <w:color w:val="000000" w:themeColor="text1"/>
          <w:sz w:val="28"/>
          <w:szCs w:val="28"/>
          <w:lang w:val="uk-UA"/>
        </w:rPr>
      </w:pPr>
      <w:bookmarkStart w:id="13" w:name="n260"/>
      <w:bookmarkEnd w:id="13"/>
      <w:r w:rsidRPr="00D73AD4">
        <w:rPr>
          <w:color w:val="000000" w:themeColor="text1"/>
          <w:sz w:val="28"/>
          <w:szCs w:val="28"/>
          <w:lang w:val="uk-UA"/>
        </w:rPr>
        <w:t>9. Зразки сертифікатів відповідності палив вимогам Технічного регламенту, які були видані за звітний період (копії), за згодою заявників згідно з вимогами </w:t>
      </w:r>
      <w:hyperlink r:id="rId7" w:anchor="n905">
        <w:r w:rsidRPr="002133BD">
          <w:rPr>
            <w:rStyle w:val="a4"/>
            <w:rFonts w:eastAsiaTheme="majorEastAsia"/>
            <w:color w:val="000000" w:themeColor="text1"/>
            <w:sz w:val="28"/>
            <w:szCs w:val="28"/>
            <w:u w:val="none"/>
            <w:lang w:val="uk-UA"/>
          </w:rPr>
          <w:t>статті 42</w:t>
        </w:r>
      </w:hyperlink>
      <w:hyperlink r:id="rId8" w:anchor="n905">
        <w:r w:rsidRPr="002133BD">
          <w:rPr>
            <w:rStyle w:val="a4"/>
            <w:rFonts w:eastAsiaTheme="majorEastAsia"/>
            <w:b/>
            <w:bCs/>
            <w:color w:val="000000" w:themeColor="text1"/>
            <w:sz w:val="28"/>
            <w:szCs w:val="28"/>
            <w:u w:val="none"/>
            <w:vertAlign w:val="superscript"/>
            <w:lang w:val="uk-UA"/>
          </w:rPr>
          <w:t>-1</w:t>
        </w:r>
      </w:hyperlink>
      <w:r w:rsidRPr="002133BD">
        <w:rPr>
          <w:color w:val="000000" w:themeColor="text1"/>
          <w:sz w:val="28"/>
          <w:szCs w:val="28"/>
          <w:lang w:val="uk-UA"/>
        </w:rPr>
        <w:t> З</w:t>
      </w:r>
      <w:r w:rsidRPr="00D73AD4">
        <w:rPr>
          <w:color w:val="000000" w:themeColor="text1"/>
          <w:sz w:val="28"/>
          <w:szCs w:val="28"/>
          <w:lang w:val="uk-UA"/>
        </w:rPr>
        <w:t>акону України “Про технічні регламенти та оцінку відповідності”. Окремо для:</w:t>
      </w:r>
    </w:p>
    <w:p w:rsidR="00AC191E" w:rsidRPr="00DE1DF8"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4" w:name="n261"/>
      <w:bookmarkEnd w:id="14"/>
      <w:r w:rsidRPr="00D73AD4">
        <w:rPr>
          <w:sz w:val="28"/>
          <w:szCs w:val="28"/>
          <w:lang w:val="uk-UA"/>
        </w:rPr>
        <w:t>альтернативне моторне паливо (бензинового типу</w:t>
      </w:r>
      <w:r w:rsidRPr="00DE1DF8">
        <w:rPr>
          <w:sz w:val="28"/>
          <w:szCs w:val="28"/>
          <w:lang w:val="uk-UA"/>
        </w:rPr>
        <w:t>)</w:t>
      </w:r>
      <w:r w:rsidRPr="00DE1DF8">
        <w:rPr>
          <w:color w:val="000000" w:themeColor="text1"/>
          <w:sz w:val="28"/>
          <w:szCs w:val="28"/>
          <w:lang w:val="uk-UA"/>
        </w:rPr>
        <w:t>;</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5" w:name="n262"/>
      <w:bookmarkEnd w:id="15"/>
      <w:r w:rsidRPr="00DE1DF8">
        <w:rPr>
          <w:sz w:val="28"/>
          <w:szCs w:val="28"/>
          <w:lang w:val="uk-UA"/>
        </w:rPr>
        <w:t>альтернативне моторне паливо (дизельного типу)</w:t>
      </w:r>
      <w:r w:rsidRPr="00DE1DF8">
        <w:rPr>
          <w:color w:val="000000" w:themeColor="text1"/>
          <w:sz w:val="28"/>
          <w:szCs w:val="28"/>
          <w:lang w:val="uk-UA"/>
        </w:rPr>
        <w:t>.</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6" w:name="n265"/>
      <w:bookmarkEnd w:id="16"/>
      <w:r w:rsidRPr="00D73AD4">
        <w:rPr>
          <w:color w:val="000000" w:themeColor="text1"/>
          <w:sz w:val="28"/>
          <w:szCs w:val="28"/>
          <w:lang w:val="uk-UA"/>
        </w:rPr>
        <w:t>10. Інформація про зауваження та пропозиції замовників оцінки відповідності палив, органів виконавчої влади та інших споживачів. Окремо за кожним споживачем. Заход</w:t>
      </w:r>
      <w:bookmarkStart w:id="17" w:name="_GoBack"/>
      <w:bookmarkEnd w:id="17"/>
      <w:r w:rsidRPr="00D73AD4">
        <w:rPr>
          <w:color w:val="000000" w:themeColor="text1"/>
          <w:sz w:val="28"/>
          <w:szCs w:val="28"/>
          <w:lang w:val="uk-UA"/>
        </w:rPr>
        <w:t>и органу з оцінки відповідності щодо усунення порушень.</w:t>
      </w:r>
    </w:p>
    <w:p w:rsidR="00AC191E" w:rsidRPr="00D73AD4" w:rsidRDefault="00AC191E" w:rsidP="00DE1DF8">
      <w:pPr>
        <w:pStyle w:val="rvps2"/>
        <w:shd w:val="clear" w:color="auto" w:fill="FFFFFF" w:themeFill="background1"/>
        <w:spacing w:before="120" w:beforeAutospacing="0" w:after="120" w:afterAutospacing="0"/>
        <w:ind w:firstLine="450"/>
        <w:jc w:val="both"/>
        <w:rPr>
          <w:color w:val="000000" w:themeColor="text1"/>
          <w:sz w:val="28"/>
          <w:szCs w:val="28"/>
          <w:lang w:val="uk-UA"/>
        </w:rPr>
      </w:pPr>
      <w:bookmarkStart w:id="18" w:name="n266"/>
      <w:bookmarkEnd w:id="18"/>
      <w:r w:rsidRPr="00D73AD4">
        <w:rPr>
          <w:color w:val="000000" w:themeColor="text1"/>
          <w:sz w:val="28"/>
          <w:szCs w:val="28"/>
          <w:lang w:val="uk-UA"/>
        </w:rPr>
        <w:t>11. Пропозиції органу з оцінки відповідності щодо поліпшення застосування Технічного регламенту.</w:t>
      </w:r>
    </w:p>
    <w:p w:rsidR="00AC191E" w:rsidRPr="00D73AD4" w:rsidRDefault="00AC191E" w:rsidP="00AC191E">
      <w:pPr>
        <w:pStyle w:val="a3"/>
        <w:spacing w:before="0" w:beforeAutospacing="0" w:after="0" w:afterAutospacing="0"/>
        <w:rPr>
          <w:color w:val="000000"/>
          <w:sz w:val="28"/>
          <w:szCs w:val="28"/>
          <w:lang w:val="uk-UA"/>
        </w:rPr>
      </w:pPr>
    </w:p>
    <w:p w:rsidR="00AC191E" w:rsidRPr="00D73AD4" w:rsidRDefault="00AC191E" w:rsidP="00AC191E">
      <w:pPr>
        <w:pStyle w:val="a3"/>
        <w:spacing w:before="0" w:beforeAutospacing="0" w:after="0" w:afterAutospacing="0"/>
        <w:rPr>
          <w:color w:val="000000"/>
          <w:sz w:val="28"/>
          <w:szCs w:val="28"/>
          <w:lang w:val="uk-UA"/>
        </w:rPr>
      </w:pPr>
    </w:p>
    <w:p w:rsidR="00AC191E" w:rsidRPr="00D73AD4" w:rsidRDefault="00AC191E" w:rsidP="00AC191E">
      <w:pPr>
        <w:pStyle w:val="a3"/>
        <w:spacing w:before="0" w:beforeAutospacing="0" w:after="0" w:afterAutospacing="0"/>
        <w:rPr>
          <w:color w:val="000000"/>
          <w:sz w:val="28"/>
          <w:szCs w:val="28"/>
          <w:lang w:val="uk-UA"/>
        </w:rPr>
      </w:pPr>
    </w:p>
    <w:p w:rsidR="009D28AA" w:rsidRPr="000A7B9A" w:rsidRDefault="001C206C" w:rsidP="000A7B9A">
      <w:pPr>
        <w:jc w:val="center"/>
        <w:rPr>
          <w:lang w:val="uk-UA"/>
        </w:rPr>
      </w:pPr>
      <w:r w:rsidRPr="000A7B9A">
        <w:rPr>
          <w:lang w:val="uk-UA"/>
        </w:rPr>
        <w:t>________________________________________________________________</w:t>
      </w:r>
    </w:p>
    <w:sectPr w:rsidR="009D28AA" w:rsidRPr="000A7B9A" w:rsidSect="00365BA5">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D8" w:rsidRDefault="00474CD8" w:rsidP="00365BA5">
      <w:r>
        <w:separator/>
      </w:r>
    </w:p>
  </w:endnote>
  <w:endnote w:type="continuationSeparator" w:id="0">
    <w:p w:rsidR="00474CD8" w:rsidRDefault="00474CD8" w:rsidP="0036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D8" w:rsidRDefault="00474CD8" w:rsidP="00365BA5">
      <w:r>
        <w:separator/>
      </w:r>
    </w:p>
  </w:footnote>
  <w:footnote w:type="continuationSeparator" w:id="0">
    <w:p w:rsidR="00474CD8" w:rsidRDefault="00474CD8" w:rsidP="0036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BA5" w:rsidRPr="000A7B9A" w:rsidRDefault="00365BA5" w:rsidP="00365BA5">
    <w:pPr>
      <w:pStyle w:val="a5"/>
      <w:jc w:val="center"/>
      <w:rPr>
        <w:lang w:val="uk-UA"/>
      </w:rPr>
    </w:pPr>
    <w:r w:rsidRPr="000A7B9A">
      <w:rPr>
        <w:lang w:val="uk-U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91E"/>
    <w:rsid w:val="000A7B9A"/>
    <w:rsid w:val="001C206C"/>
    <w:rsid w:val="002133BD"/>
    <w:rsid w:val="003265E3"/>
    <w:rsid w:val="00365BA5"/>
    <w:rsid w:val="00474CD8"/>
    <w:rsid w:val="00476B0D"/>
    <w:rsid w:val="004C355B"/>
    <w:rsid w:val="008329F7"/>
    <w:rsid w:val="009D28AA"/>
    <w:rsid w:val="00AC191E"/>
    <w:rsid w:val="00DE1DF8"/>
    <w:rsid w:val="00F4002A"/>
    <w:rsid w:val="00F63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1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91E"/>
    <w:pPr>
      <w:spacing w:before="100" w:beforeAutospacing="1" w:after="100" w:afterAutospacing="1"/>
    </w:pPr>
  </w:style>
  <w:style w:type="character" w:styleId="a4">
    <w:name w:val="Hyperlink"/>
    <w:basedOn w:val="a0"/>
    <w:uiPriority w:val="99"/>
    <w:unhideWhenUsed/>
    <w:rsid w:val="00AC191E"/>
    <w:rPr>
      <w:color w:val="467886"/>
      <w:u w:val="single"/>
    </w:rPr>
  </w:style>
  <w:style w:type="paragraph" w:customStyle="1" w:styleId="rvps12">
    <w:name w:val="rvps12"/>
    <w:basedOn w:val="a"/>
    <w:rsid w:val="00AC191E"/>
    <w:pPr>
      <w:spacing w:before="100" w:beforeAutospacing="1" w:after="100" w:afterAutospacing="1"/>
    </w:pPr>
  </w:style>
  <w:style w:type="paragraph" w:customStyle="1" w:styleId="rvps7">
    <w:name w:val="rvps7"/>
    <w:basedOn w:val="a"/>
    <w:rsid w:val="00AC191E"/>
    <w:pPr>
      <w:spacing w:before="100" w:beforeAutospacing="1" w:after="100" w:afterAutospacing="1"/>
    </w:pPr>
  </w:style>
  <w:style w:type="character" w:customStyle="1" w:styleId="rvts15">
    <w:name w:val="rvts15"/>
    <w:basedOn w:val="a0"/>
    <w:rsid w:val="00AC191E"/>
  </w:style>
  <w:style w:type="paragraph" w:customStyle="1" w:styleId="rvps14">
    <w:name w:val="rvps14"/>
    <w:basedOn w:val="a"/>
    <w:rsid w:val="00AC191E"/>
    <w:pPr>
      <w:spacing w:before="100" w:beforeAutospacing="1" w:after="100" w:afterAutospacing="1"/>
    </w:pPr>
  </w:style>
  <w:style w:type="character" w:customStyle="1" w:styleId="rvts82">
    <w:name w:val="rvts82"/>
    <w:basedOn w:val="a0"/>
    <w:rsid w:val="00AC191E"/>
  </w:style>
  <w:style w:type="paragraph" w:customStyle="1" w:styleId="rvps2">
    <w:name w:val="rvps2"/>
    <w:basedOn w:val="a"/>
    <w:rsid w:val="00AC191E"/>
    <w:pPr>
      <w:spacing w:before="100" w:beforeAutospacing="1" w:after="100" w:afterAutospacing="1"/>
    </w:pPr>
  </w:style>
  <w:style w:type="paragraph" w:styleId="a5">
    <w:name w:val="header"/>
    <w:basedOn w:val="a"/>
    <w:link w:val="a6"/>
    <w:uiPriority w:val="99"/>
    <w:unhideWhenUsed/>
    <w:rsid w:val="00365BA5"/>
    <w:pPr>
      <w:tabs>
        <w:tab w:val="center" w:pos="4819"/>
        <w:tab w:val="right" w:pos="9639"/>
      </w:tabs>
    </w:pPr>
  </w:style>
  <w:style w:type="character" w:customStyle="1" w:styleId="a6">
    <w:name w:val="Верхний колонтитул Знак"/>
    <w:basedOn w:val="a0"/>
    <w:link w:val="a5"/>
    <w:uiPriority w:val="99"/>
    <w:rsid w:val="00365BA5"/>
    <w:rPr>
      <w:rFonts w:ascii="Times New Roman" w:eastAsia="Times New Roman" w:hAnsi="Times New Roman" w:cs="Times New Roman"/>
      <w:sz w:val="24"/>
      <w:szCs w:val="24"/>
      <w:lang w:val="en-US" w:eastAsia="ru-RU"/>
    </w:rPr>
  </w:style>
  <w:style w:type="paragraph" w:styleId="a7">
    <w:name w:val="footer"/>
    <w:basedOn w:val="a"/>
    <w:link w:val="a8"/>
    <w:uiPriority w:val="99"/>
    <w:unhideWhenUsed/>
    <w:rsid w:val="00365BA5"/>
    <w:pPr>
      <w:tabs>
        <w:tab w:val="center" w:pos="4819"/>
        <w:tab w:val="right" w:pos="9639"/>
      </w:tabs>
    </w:pPr>
  </w:style>
  <w:style w:type="character" w:customStyle="1" w:styleId="a8">
    <w:name w:val="Нижний колонтитул Знак"/>
    <w:basedOn w:val="a0"/>
    <w:link w:val="a7"/>
    <w:uiPriority w:val="99"/>
    <w:rsid w:val="00365BA5"/>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1E"/>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191E"/>
    <w:pPr>
      <w:spacing w:before="100" w:beforeAutospacing="1" w:after="100" w:afterAutospacing="1"/>
    </w:pPr>
  </w:style>
  <w:style w:type="character" w:styleId="a4">
    <w:name w:val="Hyperlink"/>
    <w:basedOn w:val="a0"/>
    <w:uiPriority w:val="99"/>
    <w:unhideWhenUsed/>
    <w:rsid w:val="00AC191E"/>
    <w:rPr>
      <w:color w:val="467886"/>
      <w:u w:val="single"/>
    </w:rPr>
  </w:style>
  <w:style w:type="paragraph" w:customStyle="1" w:styleId="rvps12">
    <w:name w:val="rvps12"/>
    <w:basedOn w:val="a"/>
    <w:rsid w:val="00AC191E"/>
    <w:pPr>
      <w:spacing w:before="100" w:beforeAutospacing="1" w:after="100" w:afterAutospacing="1"/>
    </w:pPr>
  </w:style>
  <w:style w:type="paragraph" w:customStyle="1" w:styleId="rvps7">
    <w:name w:val="rvps7"/>
    <w:basedOn w:val="a"/>
    <w:rsid w:val="00AC191E"/>
    <w:pPr>
      <w:spacing w:before="100" w:beforeAutospacing="1" w:after="100" w:afterAutospacing="1"/>
    </w:pPr>
  </w:style>
  <w:style w:type="character" w:customStyle="1" w:styleId="rvts15">
    <w:name w:val="rvts15"/>
    <w:basedOn w:val="a0"/>
    <w:rsid w:val="00AC191E"/>
  </w:style>
  <w:style w:type="paragraph" w:customStyle="1" w:styleId="rvps14">
    <w:name w:val="rvps14"/>
    <w:basedOn w:val="a"/>
    <w:rsid w:val="00AC191E"/>
    <w:pPr>
      <w:spacing w:before="100" w:beforeAutospacing="1" w:after="100" w:afterAutospacing="1"/>
    </w:pPr>
  </w:style>
  <w:style w:type="character" w:customStyle="1" w:styleId="rvts82">
    <w:name w:val="rvts82"/>
    <w:basedOn w:val="a0"/>
    <w:rsid w:val="00AC191E"/>
  </w:style>
  <w:style w:type="paragraph" w:customStyle="1" w:styleId="rvps2">
    <w:name w:val="rvps2"/>
    <w:basedOn w:val="a"/>
    <w:rsid w:val="00AC191E"/>
    <w:pPr>
      <w:spacing w:before="100" w:beforeAutospacing="1" w:after="100" w:afterAutospacing="1"/>
    </w:pPr>
  </w:style>
  <w:style w:type="paragraph" w:styleId="a5">
    <w:name w:val="header"/>
    <w:basedOn w:val="a"/>
    <w:link w:val="a6"/>
    <w:uiPriority w:val="99"/>
    <w:unhideWhenUsed/>
    <w:rsid w:val="00365BA5"/>
    <w:pPr>
      <w:tabs>
        <w:tab w:val="center" w:pos="4819"/>
        <w:tab w:val="right" w:pos="9639"/>
      </w:tabs>
    </w:pPr>
  </w:style>
  <w:style w:type="character" w:customStyle="1" w:styleId="a6">
    <w:name w:val="Верхний колонтитул Знак"/>
    <w:basedOn w:val="a0"/>
    <w:link w:val="a5"/>
    <w:uiPriority w:val="99"/>
    <w:rsid w:val="00365BA5"/>
    <w:rPr>
      <w:rFonts w:ascii="Times New Roman" w:eastAsia="Times New Roman" w:hAnsi="Times New Roman" w:cs="Times New Roman"/>
      <w:sz w:val="24"/>
      <w:szCs w:val="24"/>
      <w:lang w:val="en-US" w:eastAsia="ru-RU"/>
    </w:rPr>
  </w:style>
  <w:style w:type="paragraph" w:styleId="a7">
    <w:name w:val="footer"/>
    <w:basedOn w:val="a"/>
    <w:link w:val="a8"/>
    <w:uiPriority w:val="99"/>
    <w:unhideWhenUsed/>
    <w:rsid w:val="00365BA5"/>
    <w:pPr>
      <w:tabs>
        <w:tab w:val="center" w:pos="4819"/>
        <w:tab w:val="right" w:pos="9639"/>
      </w:tabs>
    </w:pPr>
  </w:style>
  <w:style w:type="character" w:customStyle="1" w:styleId="a8">
    <w:name w:val="Нижний колонтитул Знак"/>
    <w:basedOn w:val="a0"/>
    <w:link w:val="a7"/>
    <w:uiPriority w:val="99"/>
    <w:rsid w:val="00365BA5"/>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4-19" TargetMode="External"/><Relationship Id="rId3" Type="http://schemas.openxmlformats.org/officeDocument/2006/relationships/settings" Target="settings.xml"/><Relationship Id="rId7" Type="http://schemas.openxmlformats.org/officeDocument/2006/relationships/hyperlink" Target="https://zakon.rada.gov.ua/laws/show/124-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Мирослава Полякова</cp:lastModifiedBy>
  <cp:revision>4</cp:revision>
  <dcterms:created xsi:type="dcterms:W3CDTF">2025-04-01T09:43:00Z</dcterms:created>
  <dcterms:modified xsi:type="dcterms:W3CDTF">2025-04-02T13:06:00Z</dcterms:modified>
</cp:coreProperties>
</file>